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challenges and social concerns reshape green finance’s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2007–08 global financial crisis, green finance has emerged as a significant strategy aimed at addressing environmental challenges by realigning financial markets with sustainability goals. Financial institutions such as banks, investment funds, and insurers now offer an array of green financial products, including green bonds and sustainability-linked loans. These initiatives are further strengthened by international frameworks like the Paris Agreement, which encourages a unified global effort against climate change. However, the landscape of green finance is complex and fraught with challenges that temper its professed promises.</w:t>
      </w:r>
      <w:r/>
    </w:p>
    <w:p>
      <w:r/>
      <w:r>
        <w:t>A primary difficulty lies in the lack of a universally accepted definition of what constitutes "green" finance. This ambiguity is reflected in the myriad of public and private funding mechanisms and the varied environmental, social, and governance (ESG) frameworks designed to guide sustainable investment. The proliferation of over 30 different green bond taxonomies worldwide has exacerbated confusion among investors, hindering the effective allocation of the estimated $2.4 trillion annually needed for global green initiatives, according to the International Finance Corporation (IFC). Calls for globally accepted definitions have intensified as financial experts highlight the need to streamline these taxonomies to bridge the gap between investors and climate objectives.</w:t>
      </w:r>
      <w:r/>
    </w:p>
    <w:p>
      <w:r/>
      <w:r>
        <w:t>Regulatory oversight also faces significant hurdles. The European Securities and Markets Authority (ESMA) recently reported that many EU market watchdogs lack the resources, expertise, and data required to combat greenwashing effectively, despite the enforcement mechanisms present under EU law. Limited detection of greenwashing cases and insufficient formal enforcement reflect the broader challenge facing regulators globally, who are tasked with policing increasingly sophisticated sustainability claims. Similarly, the Green Fiscal Policy Network outlines regulatory ambiguity and knowledge gaps among borrowers and lenders as major barriers that prevent efficient green financing, stressing the necessity for clear standards, education, and verification processes.</w:t>
      </w:r>
      <w:r/>
    </w:p>
    <w:p>
      <w:r/>
      <w:r>
        <w:t>The issue of greenwashing—where companies or financial products exaggerate or falsify their environmental credentials—casts a long shadow over green finance’s credibility. Investigations reveal that large polluting corporations such as Shell, Enbridge, and Drax have secured billions in sustainability-linked loans (SLLs) without binding commitments to use these funds explicitly for environmental improvements. Instead, these loans often enable ongoing environmentally harmful activities while allowing these firms to tout vague sustainability goals. Critics argue that SLLs in their current form can facilitate greenwashing, as the accountability mechanisms are weak and targets are insufficiently rigorous.</w:t>
      </w:r>
      <w:r/>
    </w:p>
    <w:p>
      <w:r/>
      <w:r>
        <w:t>This skepticism extends beyond corporate practices to green investment funds. A study by InfluenceMap found that many climate-themed and ESG-labelled equity funds fail to meet the Paris Agreement’s emission reduction targets, with some investing in fossil fuel companies. Major asset managers such as BlackRock and UBS were implicated in perpetuating misleading sustainability narratives, raising concerns about the need for more stringent regulatory frameworks and clearer marketing standards to ensure transparency and investor protection.</w:t>
      </w:r>
      <w:r/>
    </w:p>
    <w:p>
      <w:r/>
      <w:r>
        <w:t>Despite these issues, the green finance sector has sparked notable growth in environmental expertise employment. Financial firms are increasingly hiring environmental scientists as consultants, auditors, and certifiers to validate sustainability claims. Emerging technologies, including remote sensing for biodiversity monitoring, underscore a promising intersection between environmental science and finance. Yet, this trend also raises concerns about “sciencewashing,” where scientific language and authority are misused as branding tools rather than as genuine commitments to environmental progress.</w:t>
      </w:r>
      <w:r/>
    </w:p>
    <w:p>
      <w:r/>
      <w:r>
        <w:t>Crucially, the social implications of green finance remain under-addressed. Research highlights how green finance initiatives sometimes impose disproportionate burdens on marginalized communities, termed “green sacrifice zones,” where renewable energy projects or carbon offset schemes lead to displacement and social disruption. Furthermore, the disparity in borrowing costs, with poorer nations facing higher rates due to perceived climate risks, deepens global inequalities. Climate vulnerability also prompts insurers to increase premiums in these regions, worsening economic challenges for those least equipped to manage them. The World Economic Forum underscores that developing countries confront persistent investment barriers, institutional capacity limitations, and a lack of reliable ESG data, all of which hinder their participation in sustainable finance opportunities.</w:t>
      </w:r>
      <w:r/>
    </w:p>
    <w:p>
      <w:r/>
      <w:r>
        <w:t>For green finance to deliver its transformative potential, it must engage critically with these political and social dimensions. Strong public regulation and inclusive discourse are fundamental to redirect green finance toward genuinely serving public interests and equity, rather than predominantly benefiting wealthy investors and financial markets. The future of green finance hinges on the ability to integrate clear regulations, robust verification, and equitable investment practices that acknowledge and mitigate the risks of greenwashing, regulatory gaps, and social inequalities.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(SSBCrack)</w:t>
      </w:r>
      <w:r/>
    </w:p>
    <w:p>
      <w:pPr>
        <w:pStyle w:val="ListBullet"/>
        <w:spacing w:line="240" w:lineRule="auto"/>
        <w:ind w:left="720"/>
      </w:pPr>
      <w:r/>
      <w:r>
        <w:t xml:space="preserve">Paragraph 2 – </w:t>
      </w:r>
      <w:hyperlink r:id="rId9">
        <w:r>
          <w:rPr>
            <w:color w:val="0000EE"/>
            <w:u w:val="single"/>
          </w:rPr>
          <w:t>[1]</w:t>
        </w:r>
      </w:hyperlink>
      <w:r>
        <w:t xml:space="preserve"> (SSBCrack), </w:t>
      </w:r>
      <w:hyperlink r:id="rId10">
        <w:r>
          <w:rPr>
            <w:color w:val="0000EE"/>
            <w:u w:val="single"/>
          </w:rPr>
          <w:t>[3]</w:t>
        </w:r>
      </w:hyperlink>
      <w:r>
        <w:t xml:space="preserve"> (Reuters IFC)</w:t>
      </w:r>
      <w:r/>
    </w:p>
    <w:p>
      <w:pPr>
        <w:pStyle w:val="ListBullet"/>
        <w:spacing w:line="240" w:lineRule="auto"/>
        <w:ind w:left="720"/>
      </w:pPr>
      <w:r/>
      <w:r>
        <w:t xml:space="preserve">Paragraph 3 – </w:t>
      </w:r>
      <w:hyperlink r:id="rId11">
        <w:r>
          <w:rPr>
            <w:color w:val="0000EE"/>
            <w:u w:val="single"/>
          </w:rPr>
          <w:t>[2]</w:t>
        </w:r>
      </w:hyperlink>
      <w:r>
        <w:t xml:space="preserve"> (Reuters ESMA), </w:t>
      </w:r>
      <w:hyperlink r:id="rId12">
        <w:r>
          <w:rPr>
            <w:color w:val="0000EE"/>
            <w:u w:val="single"/>
          </w:rPr>
          <w:t>[7]</w:t>
        </w:r>
      </w:hyperlink>
      <w:r>
        <w:t xml:space="preserve"> (Green Fiscal Policy)</w:t>
      </w:r>
      <w:r/>
    </w:p>
    <w:p>
      <w:pPr>
        <w:pStyle w:val="ListBullet"/>
        <w:spacing w:line="240" w:lineRule="auto"/>
        <w:ind w:left="720"/>
      </w:pPr>
      <w:r/>
      <w:r>
        <w:t xml:space="preserve">Paragraph 4 – </w:t>
      </w:r>
      <w:hyperlink r:id="rId13">
        <w:r>
          <w:rPr>
            <w:color w:val="0000EE"/>
            <w:u w:val="single"/>
          </w:rPr>
          <w:t>[4]</w:t>
        </w:r>
      </w:hyperlink>
      <w:r>
        <w:t xml:space="preserve"> (AP News), </w:t>
      </w:r>
      <w:hyperlink r:id="rId14">
        <w:r>
          <w:rPr>
            <w:color w:val="0000EE"/>
            <w:u w:val="single"/>
          </w:rPr>
          <w:t>[6]</w:t>
        </w:r>
      </w:hyperlink>
      <w:r>
        <w:t xml:space="preserve"> (Time InfluenceMap)</w:t>
      </w:r>
      <w:r/>
    </w:p>
    <w:p>
      <w:pPr>
        <w:pStyle w:val="ListBullet"/>
        <w:spacing w:line="240" w:lineRule="auto"/>
        <w:ind w:left="720"/>
      </w:pPr>
      <w:r/>
      <w:r>
        <w:t xml:space="preserve">Paragraph 5 – </w:t>
      </w:r>
      <w:hyperlink r:id="rId9">
        <w:r>
          <w:rPr>
            <w:color w:val="0000EE"/>
            <w:u w:val="single"/>
          </w:rPr>
          <w:t>[1]</w:t>
        </w:r>
      </w:hyperlink>
      <w:r>
        <w:t xml:space="preserve"> (SSBCrack), </w:t>
      </w:r>
      <w:hyperlink r:id="rId14">
        <w:r>
          <w:rPr>
            <w:color w:val="0000EE"/>
            <w:u w:val="single"/>
          </w:rPr>
          <w:t>[6]</w:t>
        </w:r>
      </w:hyperlink>
      <w:r>
        <w:t xml:space="preserve"> (Time InfluenceMap)</w:t>
      </w:r>
      <w:r/>
    </w:p>
    <w:p>
      <w:pPr>
        <w:pStyle w:val="ListBullet"/>
        <w:spacing w:line="240" w:lineRule="auto"/>
        <w:ind w:left="720"/>
      </w:pPr>
      <w:r/>
      <w:r>
        <w:t xml:space="preserve">Paragraph 6 – </w:t>
      </w:r>
      <w:hyperlink r:id="rId9">
        <w:r>
          <w:rPr>
            <w:color w:val="0000EE"/>
            <w:u w:val="single"/>
          </w:rPr>
          <w:t>[1]</w:t>
        </w:r>
      </w:hyperlink>
      <w:r>
        <w:t xml:space="preserve"> (SSBCrack), </w:t>
      </w:r>
      <w:hyperlink r:id="rId13">
        <w:r>
          <w:rPr>
            <w:color w:val="0000EE"/>
            <w:u w:val="single"/>
          </w:rPr>
          <w:t>[4]</w:t>
        </w:r>
      </w:hyperlink>
      <w:r>
        <w:t xml:space="preserve"> (AP News)</w:t>
      </w:r>
      <w:r/>
    </w:p>
    <w:p>
      <w:pPr>
        <w:pStyle w:val="ListBullet"/>
        <w:spacing w:line="240" w:lineRule="auto"/>
        <w:ind w:left="720"/>
      </w:pPr>
      <w:r/>
      <w:r>
        <w:t xml:space="preserve">Paragraph 7 – </w:t>
      </w:r>
      <w:hyperlink r:id="rId9">
        <w:r>
          <w:rPr>
            <w:color w:val="0000EE"/>
            <w:u w:val="single"/>
          </w:rPr>
          <w:t>[1]</w:t>
        </w:r>
      </w:hyperlink>
      <w:r>
        <w:t xml:space="preserve"> (SSBCrack), </w:t>
      </w:r>
      <w:hyperlink r:id="rId15">
        <w:r>
          <w:rPr>
            <w:color w:val="0000EE"/>
            <w:u w:val="single"/>
          </w:rPr>
          <w:t>[5]</w:t>
        </w:r>
      </w:hyperlink>
      <w:r>
        <w:t xml:space="preserve"> (World Economic Forum)</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https://news.ssbcrack.com/green-finance-a-closer-look-at-its-effectiveness-and-underlying-challenges/</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https://www.reuters.com/sustainability/regulators-lack-resources-tackle-greenwashing-says-eu-watchdog-2024-06-04/</w:t>
        </w:r>
      </w:hyperlink>
      <w:r>
        <w:t xml:space="preserve"> - The European Securities and Markets Authority (ESMA) has highlighted that market watchdogs in the EU lack sufficient resources to effectively combat greenwashing by financial firms. Despite significant investments in green credentials, regulators have identified only a limited number of greenwashing cases, primarily due to constraints on resources, expertise, and data. Local regulators, known as national competent authorities (NCAs), have reported few formal enforcement actions. Efforts to enhance capabilities include improved staff training, but resources remain inadequate according to ESMA. The European Banking Authority (EBA) and the European Insurance and Occupational Pensions Authority also noted an increase in greenwashing allegations and suggested that external reviews could aid compliance. EU rules provide mechanisms to address greenwashing, including mandates for fair communication and recent climate-related disclosure requirements for asset managers, listed companies, and green bond issuers.</w:t>
      </w:r>
      <w:r/>
    </w:p>
    <w:p>
      <w:pPr>
        <w:pStyle w:val="ListNumber"/>
        <w:spacing w:line="240" w:lineRule="auto"/>
        <w:ind w:left="720"/>
      </w:pPr>
      <w:r/>
      <w:hyperlink r:id="rId10">
        <w:r>
          <w:rPr>
            <w:color w:val="0000EE"/>
            <w:u w:val="single"/>
          </w:rPr>
          <w:t>https://www.reuters.com/sustainability/sustainable-finance-reporting/world-must-urgently-streamline-green-bond-taxonomies-ifc-2025-01-14/</w:t>
        </w:r>
      </w:hyperlink>
      <w:r>
        <w:t xml:space="preserve"> - The World Bank Group's private investment arm, the International Finance Corporation (IFC), emphasized the urgent need to streamline definitions of green bonds to draw necessary funds for the global green transition amid concerns over the impact of the incoming Trump administration on sustainable investments. Alfonso Garcia Mora, IFC vice president, highlighted the existence of over 30 different green bond taxonomies, complicating investor decision-making and hampering the allocation of an estimated $2.4 trillion needed annually for green initiatives. He called for globally accepted definitions to facilitate the process and bridge the gap between investors and climate goals. Since 2010, the IFC has issued nearly $14 billion in green bonds across 21 currencies. The return of Donald Trump as the U.S. president is expected to escalate political backlash against ESG policies, creating uncertainty in green bond markets vital for financing the green transition.</w:t>
      </w:r>
      <w:r/>
    </w:p>
    <w:p>
      <w:pPr>
        <w:pStyle w:val="ListNumber"/>
        <w:spacing w:line="240" w:lineRule="auto"/>
        <w:ind w:left="720"/>
      </w:pPr>
      <w:r/>
      <w:hyperlink r:id="rId13">
        <w:r>
          <w:rPr>
            <w:color w:val="0000EE"/>
            <w:u w:val="single"/>
          </w:rPr>
          <w:t>https://apnews.com/article/a28e03c7421222c58025b31ab8185272</w:t>
        </w:r>
      </w:hyperlink>
      <w:r>
        <w:t xml:space="preserve"> - Mega-polluting companies like Shell, Enbridge, and Drax have obtained billions in "sustainability-linked loans" (SLLs) from major banks, promising to improve their environmental practices. However, these loans lack strict accountability, as companies need not use the funds directly for sustainability projects. An investigation revealed that from 2018 to 2023, over $286 billion in SLLs were issued to industries known for environmental damage, including fossil fuels, mining, and deforestation. Companies receiving these loans often publicize vague sustainability goals without binding targets, and some even expand their polluting activities using the funds. Critics argue that SLLs facilitate greenwashing, allowing banks and companies to enhance their reputations without making substantial environmental improvements. For example, despite receiving SLLs, Drax and Enbridge expanded operations that significantly increase carbon emissions. Proponents claim these loans promote broad environmental improvements, but evidence suggests they often fail to produce meaningful change and may instead perpetuate environmentally harmful practices.</w:t>
      </w:r>
      <w:r/>
    </w:p>
    <w:p>
      <w:pPr>
        <w:pStyle w:val="ListNumber"/>
        <w:spacing w:line="240" w:lineRule="auto"/>
        <w:ind w:left="720"/>
      </w:pPr>
      <w:r/>
      <w:hyperlink r:id="rId15">
        <w:r>
          <w:rPr>
            <w:color w:val="0000EE"/>
            <w:u w:val="single"/>
          </w:rPr>
          <w:t>https://www.weforum.org/agenda/2022/05/sustainable-finance-challenges-global-inequality/</w:t>
        </w:r>
      </w:hyperlink>
      <w:r>
        <w:t xml:space="preserve"> - The World Economic Forum discusses seven sustainable finance challenges that contribute to global inequality. These include persistent barriers to investment and capacity constraints that prevent developing countries from harnessing the benefits of sustainability efforts. Factors such as insufficient depth of financial markets, lack of capacity to demonstrate compliance with sustainability standards, and the absence of Environmental, Social, and Governance (ESG) information in most developing countries are highlighted. The report emphasizes the need for additional capacity building in finance and investment climate, support for sustainability reporting and monitoring, and addressing biases in investment decisions to ensure equitable access to sustainable finance opportunities.</w:t>
      </w:r>
      <w:r/>
    </w:p>
    <w:p>
      <w:pPr>
        <w:pStyle w:val="ListNumber"/>
        <w:spacing w:line="240" w:lineRule="auto"/>
        <w:ind w:left="720"/>
      </w:pPr>
      <w:r/>
      <w:hyperlink r:id="rId14">
        <w:r>
          <w:rPr>
            <w:color w:val="0000EE"/>
            <w:u w:val="single"/>
          </w:rPr>
          <w:t>https://time.com/6095472/green-esg-investment-funds-greenwashing/</w:t>
        </w:r>
      </w:hyperlink>
      <w:r>
        <w:t xml:space="preserve"> - A report by InfluenceMap indicates that many green investment funds do not align with the Paris Agreement goals despite branding themselves with terms like "low carbon" or "clean energy." The report assessed 723 equity funds, revealing that over half of climate-themed funds and more than 70% of funds with broader ESG goals miss global climate targets. Some funds even invest in fossil fuel companies, raising concerns about greenwashing. Major asset managers like BlackRock and UBS were highlighted for such practices. While the global asset management industry has committed to net-zero emissions, the report calls for standardized ESG fund branding and marketing to ensure transparency for investors. Regulatory authorities worldwide are increasing scrutiny and implementing regulations like the EU's Sustainable Finance Disclosure Regulation to tackle this issue. Despite challenges, the proliferation of green funds is viewed positively, with hopes that initial greenwashing may evolve into genuine sustainable investing.</w:t>
      </w:r>
      <w:r/>
    </w:p>
    <w:p>
      <w:pPr>
        <w:pStyle w:val="ListNumber"/>
        <w:spacing w:line="240" w:lineRule="auto"/>
        <w:ind w:left="720"/>
      </w:pPr>
      <w:r/>
      <w:hyperlink r:id="rId12">
        <w:r>
          <w:rPr>
            <w:color w:val="0000EE"/>
            <w:u w:val="single"/>
          </w:rPr>
          <w:t>https://greenfiscalpolicy.org/blog/5-barriers-that-hinder-green-financing/</w:t>
        </w:r>
      </w:hyperlink>
      <w:r>
        <w:t xml:space="preserve"> - The Green Fiscal Policy Network identifies five barriers hindering green financing: regulatory ambiguity, knowledge gaps, high up-front capital costs, verifying performance, and data reporting. Regulatory ambiguity arises from the lack of a federal standard in the U.S. defining "green," leading to confusion among borrowers and lenders. Knowledge gaps exist as many borrowers do not understand how to structure a green loan or how sustainability upgrades translate to financial savings. High up-front capital costs and risk perception deter investment in green projects. Verifying performance, data, and reporting are complex due to the need for accurate measurement of energy savings, emissions reductions, or sustainability claims. These challenges underscore the need for clear standards, education, and robust verification mechanisms in green financing.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ssbcrack.com/green-finance-a-closer-look-at-its-effectiveness-and-underlying-challenges/" TargetMode="External"/><Relationship Id="rId10" Type="http://schemas.openxmlformats.org/officeDocument/2006/relationships/hyperlink" Target="https://www.reuters.com/sustainability/sustainable-finance-reporting/world-must-urgently-streamline-green-bond-taxonomies-ifc-2025-01-14/" TargetMode="External"/><Relationship Id="rId11" Type="http://schemas.openxmlformats.org/officeDocument/2006/relationships/hyperlink" Target="https://www.reuters.com/sustainability/regulators-lack-resources-tackle-greenwashing-says-eu-watchdog-2024-06-04/" TargetMode="External"/><Relationship Id="rId12" Type="http://schemas.openxmlformats.org/officeDocument/2006/relationships/hyperlink" Target="https://greenfiscalpolicy.org/blog/5-barriers-that-hinder-green-financing/" TargetMode="External"/><Relationship Id="rId13" Type="http://schemas.openxmlformats.org/officeDocument/2006/relationships/hyperlink" Target="https://apnews.com/article/a28e03c7421222c58025b31ab8185272" TargetMode="External"/><Relationship Id="rId14" Type="http://schemas.openxmlformats.org/officeDocument/2006/relationships/hyperlink" Target="https://time.com/6095472/green-esg-investment-funds-greenwashing/" TargetMode="External"/><Relationship Id="rId15" Type="http://schemas.openxmlformats.org/officeDocument/2006/relationships/hyperlink" Target="https://www.weforum.org/agenda/2022/05/sustainable-finance-challenges-global-inequa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