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Capstone Copper's operational momentum and bullish outlook spark 23% upside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surge in copper prices throughout 2025 has sharply elevated investor interest in copper mining stocks, with Capstone Copper (ASX: CSC) emerging as a particularly compelling prospect within the ASX 200 resources sector. Copper prices have surpassed US$10,855 per tonne, marking a 23.8% year-to-date increase driven by strong structural demand factors rather than speculative excess. This robust pricing environment supports significant upside potential for mining companies with strong operational execution and strategic positioning.</w:t>
      </w:r>
      <w:r/>
    </w:p>
    <w:p>
      <w:r/>
      <w:r>
        <w:t>Capstone Copper exemplifies this dynamic, delivering exceptional financial results and share price performance. The company’s Q3 2025 report revealed record metrics, including copper production of 55,280 tonnes—a 16.5% increase year-on-year—and adjusted EBITDA of US$249.2 million, more than doubling compared to the previous year. These outcomes were underpinned by improved sulphide copper processing, producing higher-grade ore more efficiently, alongside a notable 15% reduction in C1 cash costs to $2.42 per pound. The firm’s ability to grow production while cutting costs in an inflationary context highlights operational excellence rather than mere cyclical benefits. Furthermore, average realised copper prices climbed 6%, reflecting astute marketing and hedging strategies that capitalised on the favourable market conditions.</w:t>
      </w:r>
      <w:r/>
    </w:p>
    <w:p>
      <w:r/>
      <w:r>
        <w:t>Analysts at Macquarie Group have underscored these operational strengths, assigning Capstone Copper an “Outperform” rating and a 12-month price target of $16.50 per share, representing around 23% upside from current levels. Macquarie’s assessment emphasises the durability of Capstone’s operational improvements, rather than relying solely on copper price appreciation, noting the company’s consistent delivery on guidance and prudence in forecast revisions. This balanced approach enhances confidence in the sustainability of returns amid copper’s continued bull market.</w:t>
      </w:r>
      <w:r/>
    </w:p>
    <w:p>
      <w:r/>
      <w:r>
        <w:t>Multiple global trends continue to drive sustained copper demand. The ongoing energy transition, with rapid expansion of renewable infrastructure, electric vehicle adoption, grid modernisation, and data centre growth powered by artificial intelligence, requires substantially more copper due to its essential role in electrical wiring and components. Unlike prior commodity cycles tied to construction or industrial booms, these demand drivers represent a structural shift extending over decades, providing long-term visibility for well-positioned producers. At the same time, supply-side constraints—including protracted permitting processes, capital-intensive new mine developments, ageing facilities, and geopolitical risks—are tightening availability, lending further support to copper prices.</w:t>
      </w:r>
      <w:r/>
    </w:p>
    <w:p>
      <w:r/>
      <w:r>
        <w:t>Capstone’s competitive advantages stem from four key areas: its expertise in sulphide copper production enabling access to higher-grade ore with superior margins; relentless cost management discipline that reduces unit costs while increasing output; strategic asset location within stable jurisdictions with robust infrastructure; and a track record of reliable production and cost guidance that fosters market trust. These factors combine to mitigate risks common in the mining sector and strengthen the company’s investment appeal.</w:t>
      </w:r>
      <w:r/>
    </w:p>
    <w:p>
      <w:r/>
      <w:r>
        <w:t>The company’s inclusion in the S&amp;P/ASX 200 index earlier in 2025 further reflects its growing market capitalisation and liquidity, increasing visibility among institutional investors particularly in the Asia-Pacific region. Capstone’s intermediate market cap position balances the benefits of scale and growth potential, offering stability beyond that of smaller explorers while avoiding the bureaucratic constraints frequently faced by large mining conglomerates.</w:t>
      </w:r>
      <w:r/>
    </w:p>
    <w:p>
      <w:r/>
      <w:r>
        <w:t>Nevertheless, investors should weigh inherent risks, including copper price volatility influenced by macroeconomic cycles and currency fluctuations, operational uncertainties such as equipment reliability and ore grade variability, evolving environmental regulations requiring potentially costly compliance, and geopolitical or regulatory changes in operating regions. Capstone addresses many of these through diversified assets, conservative financial management, strategic hedging, and robust safety and environmental protocols, which collectively support risk mitigation.</w:t>
      </w:r>
      <w:r/>
    </w:p>
    <w:p>
      <w:r/>
      <w:r>
        <w:t>With operational momentum firmly established, market conditions favouring copper price strength, and professional analyst endorsement, Capstone Copper presents a noteworthy investment opportunity. Its focus on pure-play copper exposure allows investors to directly benefit from structural industry trends without dilution from unrelated commodities. The combination of record financial performance, sustainable cost reductions, and strategic positioning underpin the optimism around the company’s potential 23% upside, aligned with growing global electrification and infrastructure demands.</w:t>
      </w:r>
      <w:r/>
    </w:p>
    <w:p>
      <w:r/>
      <w:r>
        <w:t>Overall, Capstone Copper’s trajectory exemplifies how operational excellence intertwined with favourable macro trends can create compelling shareholder value in the evolving copper market. For investors seeking to capitalise on the energy transition and broadened copper consumption, Capstone offers a well-managed, strategically positioned vehicle with strong fundamentals and attractive growth prospects.</w:t>
      </w:r>
      <w:r/>
    </w:p>
    <w:p>
      <w:pPr>
        <w:pStyle w:val="Heading3"/>
      </w:pPr>
      <w:r>
        <w:t>📌 Reference Map:</w:t>
      </w:r>
      <w:r/>
      <w:r/>
    </w:p>
    <w:p>
      <w:pPr>
        <w:pStyle w:val="ListBullet"/>
        <w:spacing w:line="240" w:lineRule="auto"/>
        <w:ind w:left="720"/>
      </w:pPr>
      <w:r/>
      <w:hyperlink r:id="rId9">
        <w:r>
          <w:rPr>
            <w:color w:val="0000EE"/>
            <w:u w:val="single"/>
          </w:rPr>
          <w:t>[1]</w:t>
        </w:r>
      </w:hyperlink>
      <w:r>
        <w:t xml:space="preserve"> (Discovery Alert) - Paragraphs 1, 2, 3, 4, 5, 6, 8, 9, 10, 11, 12, 13, 14 </w:t>
      </w:r>
      <w:r/>
    </w:p>
    <w:p>
      <w:pPr>
        <w:pStyle w:val="ListBullet"/>
        <w:spacing w:line="240" w:lineRule="auto"/>
        <w:ind w:left="720"/>
      </w:pPr>
      <w:r/>
      <w:hyperlink r:id="rId10">
        <w:r>
          <w:rPr>
            <w:color w:val="0000EE"/>
            <w:u w:val="single"/>
          </w:rPr>
          <w:t>[2]</w:t>
        </w:r>
      </w:hyperlink>
      <w:r>
        <w:t xml:space="preserve"> (Capstone Copper) - Paragraph 3 </w:t>
      </w:r>
      <w:r/>
    </w:p>
    <w:p>
      <w:pPr>
        <w:pStyle w:val="ListBullet"/>
        <w:spacing w:line="240" w:lineRule="auto"/>
        <w:ind w:left="720"/>
      </w:pPr>
      <w:r/>
      <w:hyperlink r:id="rId11">
        <w:r>
          <w:rPr>
            <w:color w:val="0000EE"/>
            <w:u w:val="single"/>
          </w:rPr>
          <w:t>[3]</w:t>
        </w:r>
      </w:hyperlink>
      <w:r>
        <w:t xml:space="preserve"> (Tipranks) - Paragraph 3 </w:t>
      </w:r>
      <w:r/>
    </w:p>
    <w:p>
      <w:pPr>
        <w:pStyle w:val="ListBullet"/>
        <w:spacing w:line="240" w:lineRule="auto"/>
        <w:ind w:left="720"/>
      </w:pPr>
      <w:r/>
      <w:hyperlink r:id="rId12">
        <w:r>
          <w:rPr>
            <w:color w:val="0000EE"/>
            <w:u w:val="single"/>
          </w:rPr>
          <w:t>[4]</w:t>
        </w:r>
      </w:hyperlink>
      <w:r>
        <w:t xml:space="preserve"> (Capstone Copper) - Paragraph 7 </w:t>
      </w:r>
      <w:r/>
    </w:p>
    <w:p>
      <w:pPr>
        <w:pStyle w:val="ListBullet"/>
        <w:spacing w:line="240" w:lineRule="auto"/>
        <w:ind w:left="720"/>
      </w:pPr>
      <w:r/>
      <w:hyperlink r:id="rId13">
        <w:r>
          <w:rPr>
            <w:color w:val="0000EE"/>
            <w:u w:val="single"/>
          </w:rPr>
          <w:t>[5]</w:t>
        </w:r>
      </w:hyperlink>
      <w:r>
        <w:t xml:space="preserve"> (Fool Australia) - Paragraph 3 </w:t>
      </w:r>
      <w:r/>
    </w:p>
    <w:p>
      <w:pPr>
        <w:pStyle w:val="ListBullet"/>
        <w:spacing w:line="240" w:lineRule="auto"/>
        <w:ind w:left="720"/>
      </w:pPr>
      <w:r/>
      <w:hyperlink r:id="rId14">
        <w:r>
          <w:rPr>
            <w:color w:val="0000EE"/>
            <w:u w:val="single"/>
          </w:rPr>
          <w:t>[6]</w:t>
        </w:r>
      </w:hyperlink>
      <w:r>
        <w:t xml:space="preserve"> (Fool Australia) - Paragraph 4,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https://discoveryalert.com.au/news/copper-mining-stocks-commanding-attention-2025/</w:t>
        </w:r>
      </w:hyperlink>
      <w:r>
        <w:t xml:space="preserve"> - Please view link - unable to able to access data</w:t>
      </w:r>
      <w:r/>
    </w:p>
    <w:p>
      <w:pPr>
        <w:pStyle w:val="ListNumber"/>
        <w:spacing w:line="240" w:lineRule="auto"/>
        <w:ind w:left="720"/>
      </w:pPr>
      <w:r/>
      <w:hyperlink r:id="rId10">
        <w:r>
          <w:rPr>
            <w:color w:val="0000EE"/>
            <w:u w:val="single"/>
          </w:rPr>
          <w:t>https://capstonecopper.com/news/capstone-copper-reports-third-quarter-2025-results/</w:t>
        </w:r>
      </w:hyperlink>
      <w:r>
        <w:t xml:space="preserve"> - Capstone Copper Corp reported record financial results for Q3 2025, with revenue reaching an all-time high and adjusted EBITDA setting a quarterly record. The company's strong performance was driven by increased copper production and lower cash costs, alongside strategic initiatives such as the Mantoverde Optimized project and a joint venture partnership at Santo Domingo. These efforts are expected to enhance project returns and support long-term value creation, although consolidated copper production is trending towards the lower end of guidance for 2025.</w:t>
      </w:r>
      <w:r/>
    </w:p>
    <w:p>
      <w:pPr>
        <w:pStyle w:val="ListNumber"/>
        <w:spacing w:line="240" w:lineRule="auto"/>
        <w:ind w:left="720"/>
      </w:pPr>
      <w:r/>
      <w:hyperlink r:id="rId11">
        <w:r>
          <w:rPr>
            <w:color w:val="0000EE"/>
            <w:u w:val="single"/>
          </w:rPr>
          <w:t>https://www.tipranks.com/news/company-announcements/capstone-copper-corp-reports-record-q3-2025-results</w:t>
        </w:r>
      </w:hyperlink>
      <w:r>
        <w:t xml:space="preserve"> - Capstone Copper Corp announced record financial performance for Q3 2025, highlighted by an all-time high in revenue and record low C1 cash costs. The company also reported a significant increase in adjusted EBITDA, driven by strong production and favorable market conditions. Key financial metrics for the quarter include a net income attributable to shareholders of $248.1 million, a substantial increase from the previous year. The company’s consolidated copper production rose to 55,280 tonnes, with a notable reduction in C1 cash costs to $2.42 per pound. Strategic initiatives included the sanctioning of the Mantoverde Optimized project and a joint venture partnership at Santo Domingo, aimed at enhancing project returns and reducing funding risks.</w:t>
      </w:r>
      <w:r/>
    </w:p>
    <w:p>
      <w:pPr>
        <w:pStyle w:val="ListNumber"/>
        <w:spacing w:line="240" w:lineRule="auto"/>
        <w:ind w:left="720"/>
      </w:pPr>
      <w:r/>
      <w:hyperlink r:id="rId12">
        <w:r>
          <w:rPr>
            <w:color w:val="0000EE"/>
            <w:u w:val="single"/>
          </w:rPr>
          <w:t>https://capstonecopper.com/news/capstone-copper-announces-inclusion-in-the-sp-asx-200-index/</w:t>
        </w:r>
      </w:hyperlink>
      <w:r>
        <w:t xml:space="preserve"> - Capstone Copper Corp announced that its CHESS Depositary Interests (CDI) will be added to the S&amp;P/ASX 200 Index by S&amp;P Dow Jones, effective prior to ASX market opening on March 24, 2025. CEO John MacKenzie expressed pleasure at the inclusion, recognising the success of the company's secondary listing in Australia and highlighting the growing market capitalisation and trading liquidity on the ASX. The company looks forward to engaging with investment analysts, institutional fund managers, and investors in the Asia Pacific region.</w:t>
      </w:r>
      <w:r/>
    </w:p>
    <w:p>
      <w:pPr>
        <w:pStyle w:val="ListNumber"/>
        <w:spacing w:line="240" w:lineRule="auto"/>
        <w:ind w:left="720"/>
      </w:pPr>
      <w:r/>
      <w:hyperlink r:id="rId13">
        <w:r>
          <w:rPr>
            <w:color w:val="0000EE"/>
            <w:u w:val="single"/>
          </w:rPr>
          <w:t>https://www.fool.com.au/2025/08/01/guess-which-asx-200-copper-stock-is-leaping-higher-on-record-production/</w:t>
        </w:r>
      </w:hyperlink>
      <w:r>
        <w:t xml:space="preserve"> - Capstone Copper's share price has surged following the ASX 200 copper stock reporting record quarterly consolidated copper production of 57,416 tonnes at C1 cash costs of $2.45 per pound. Sulphide copper production was particularly strong, up 55% year on year to 47,086 tonnes. The improved production and costs were largely driven by contributions from its Mantoverde mine sulphides following the successful ramp-up in 2024. Net income attributable to shareholders was $24.0 million, down from $29.3 million in Q2 2024. However, adjusted net income attributable to shareholders of $27.5 million was up from $20.9 million in Q2 2024. The increased sulphide copper production also drove record Q2 2025 adjusted earnings before interest, taxes, depreciation and amortisation (EBITDA) of $215.6 million for Q2 2025, up 75% year on year.</w:t>
      </w:r>
      <w:r/>
    </w:p>
    <w:p>
      <w:pPr>
        <w:pStyle w:val="ListNumber"/>
        <w:spacing w:line="240" w:lineRule="auto"/>
        <w:ind w:left="720"/>
      </w:pPr>
      <w:r/>
      <w:hyperlink r:id="rId14">
        <w:r>
          <w:rPr>
            <w:color w:val="0000EE"/>
            <w:u w:val="single"/>
          </w:rPr>
          <w:t>https://www.fool.com.au/2025/05/30/why-macquarie-expects-this-asx-200-copper-stock-to-surge-36-in-a-year/</w:t>
        </w:r>
      </w:hyperlink>
      <w:r>
        <w:t xml:space="preserve"> - Macquarie Group maintains an optimistic outlook on Capstone Copper, highlighting the company's comprehensive operational excellence across multiple performance dimensions. The investment bank's analysis focuses on sustained competitive advantages rather than temporary market conditions. Performance excellence metrics include production volume, sales performance, cost management, revenue generation, and EBITDA achievement. The magnitude of performance beats across all tracked metrics indicates comprehensive operational excellence rather than isolated achievements. The investment recommendation framework includes a current rating of 'Outperform' (maintained), a 12-month price target of $16.50 per share, and an implied upside potential of approximately 23% from current levels. The risk assessment is balanced between operational and market-driven opportunities.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scoveryalert.com.au/news/copper-mining-stocks-commanding-attention-2025/" TargetMode="External"/><Relationship Id="rId10" Type="http://schemas.openxmlformats.org/officeDocument/2006/relationships/hyperlink" Target="https://capstonecopper.com/news/capstone-copper-reports-third-quarter-2025-results/" TargetMode="External"/><Relationship Id="rId11" Type="http://schemas.openxmlformats.org/officeDocument/2006/relationships/hyperlink" Target="https://www.tipranks.com/news/company-announcements/capstone-copper-corp-reports-record-q3-2025-results" TargetMode="External"/><Relationship Id="rId12" Type="http://schemas.openxmlformats.org/officeDocument/2006/relationships/hyperlink" Target="https://capstonecopper.com/news/capstone-copper-announces-inclusion-in-the-sp-asx-200-index/" TargetMode="External"/><Relationship Id="rId13" Type="http://schemas.openxmlformats.org/officeDocument/2006/relationships/hyperlink" Target="https://www.fool.com.au/2025/08/01/guess-which-asx-200-copper-stock-is-leaping-higher-on-record-production/" TargetMode="External"/><Relationship Id="rId14" Type="http://schemas.openxmlformats.org/officeDocument/2006/relationships/hyperlink" Target="https://www.fool.com.au/2025/05/30/why-macquarie-expects-this-asx-200-copper-stock-to-surge-36-in-a-yea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