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California's new ESG disclosure law accelerates global regulatory landscape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global regulatory landscapes grow increasingly complex, enterprises worldwide confront mounting demands to disclose environmental, social, and governance (ESG) data, reshaping compliance from a burdensome obligation into a strategic opportunity. This shift is exemplified by accelerated government mandates transforming voluntary sustainability efforts into legally enforced reporting requirements with tangible financial implications.</w:t>
      </w:r>
      <w:r/>
    </w:p>
    <w:p>
      <w:r/>
      <w:r>
        <w:t>Notably, California has taken a pioneering stance through the Climate Corporate Data Accountability Act (SB 253), which mandates that companies with annual global revenues exceeding $1 billion disclose comprehensive greenhouse gas emissions, including Scope 1, 2, and 3, under a phased timeline starting in 2026. This law applies to over 5,300 businesses and includes rigorous verification and penalties for non-compliance, striving to enhance transparency and drive emission reductions in sectors ranging from building operations to supply chain logistics. Recent amendments have refined implementation timelines, allowed for flexibility around Scope 3 emissions reporting, and consolidated reporting requirements at the parent company level, reflecting an evolving and increasingly stringent regulatory environment for large corporations operating in California. The passage and enforcement of SB 253 signal a broader global trend, as countries including the UK, Australia, Canada, Singapore, Japan, and China align their regulations with international financial reporting standards, expanding the reach and impact of sustainability disclosure mandates.</w:t>
      </w:r>
      <w:r/>
    </w:p>
    <w:p>
      <w:r/>
      <w:r>
        <w:t>In parallel, advancements in enterprise technology illuminate pathways for companies to navigate these regulatory demands efficiently. Market leaders like Salesforce have demonstrated the power of platform convergence through their partnership with Google, integrating AI-driven workflows to break down operational silos and enhance data automation. Similarly, Snowflake's expanded collaboration with Palantir has created seamless interoperability between enterprise data clouds and AI platforms, accelerating decision-making and reducing costs, a synergy increasingly mirrored in ESG compliance infrastructures.</w:t>
      </w:r>
      <w:r/>
    </w:p>
    <w:p>
      <w:r/>
      <w:r>
        <w:t>Furthering these developments, MSCI’s introduction of Private Assets Classification Standards (PACS) exemplifies efforts to standardize data across private markets, facilitating comparability and transparency crucial for ESG reporting. These initiatives together illustrate a transformative moment in regulatory technology, RegTech, where unifying fragmented ESG data streams and complex compliance workflows into intelligent, scalable platforms is becoming central to strategic business operations.</w:t>
      </w:r>
      <w:r/>
    </w:p>
    <w:p>
      <w:r/>
      <w:r>
        <w:t>Within this evolving landscape, Diginex Limited stands out as a focused RegTech enterprise offering comprehensive sustainability management solutions. Since its Nasdaq IPO in early 2025, raising over $9 million, Diginex has positioned itself as a sustainability "operating system," serving major global clients including Coca-Cola, HSBC, Microsoft, and the World Economic Forum. Its flagship platform, diginexESG, supports reporting across 19 global sustainability frameworks such as GRI and SASB while safeguarding data integrity via blockchain technology. More than a reporting tool, the platform employs AI to detect discrepancies, identify gaps, and suggest actionable improvements, effectively transitioning compliance from a reactive process to a proactive strategic asset.</w:t>
      </w:r>
      <w:r/>
    </w:p>
    <w:p>
      <w:r/>
      <w:r>
        <w:t>Expanding beyond ESG disclosures, Diginex has developed diginexGHG, an AI-automated carbon accounting solution built to rigorous Greenhouse Gas Protocol standards. The carbon accounting software market is projected to grow dramatically, from $18.6 billion in 2024 to over $51 billion by 2029, positioning Diginex to capture significant market share as disclosures tighten globally. Complementary tools like diginexLUMEN and diginexAPPRISE address supply chain transparency by enabling multi-tier supplier mapping and worker-condition audits, directly supporting compliance with legislation such as Germany’s Supply Chain Due Diligence Act.</w:t>
      </w:r>
      <w:r/>
    </w:p>
    <w:p>
      <w:r/>
      <w:r>
        <w:t>Diginex’s growth strategy blends organic development with strategic acquisitions, exemplified by its $13 million purchase of Matter DK ApS, which enhances its ESG data analytics capabilities and strengthens Nasdaq-backed distribution. Prospective acquisitions, including AI-driven Resulticks and the supply chain and cybersecurity platform Findings, could further diversify Diginex’s offerings into stakeholder engagement and real-time compliance monitoring, underscoring the company’s intent to build a robust, modular platform responsive to the evolving demands of ESG regulation.</w:t>
      </w:r>
      <w:r/>
    </w:p>
    <w:p>
      <w:r/>
      <w:r>
        <w:t>In addition, partnerships form a critical expansion vector: integrations with BlockRidge bring ESG verification into tokenized assets, while alliances with fund administration platforms and financial institutions embed Diginex’s reporting tools into key capital market operations and rural banking sectors in Indonesia, generating incremental revenue streams.</w:t>
      </w:r>
      <w:r/>
    </w:p>
    <w:p>
      <w:r/>
      <w:r>
        <w:t>Industry observers note that as ESG disclosure requirements proliferate and intensify, the RegTech sector is poised for rapid expansion. Platforms offering comprehensive, interoperable, and AI-enabled solutions enjoy a distinct advantage. With enterprise-grade infrastructure, Nasdaq validation, and a dynamic ecosystem of acquisitions and partnerships, Diginex aims to transform regulatory complexity into a competitive edge, much like Salesforce redefined customer relationship management through platform convergence.</w:t>
      </w:r>
      <w:r/>
    </w:p>
    <w:p>
      <w:r/>
      <w:r>
        <w:t>For investors and companies navigating this new regulatory reality, Diginex represents a compelling example of how innovation can catalyse compliance evolution, delivering clarity and control in an era where sustainability reporting moves from voluntary ambition to mandated imperative. Whether it emerges as a dominant leader or becomes a key player in an industry consolidation remains to be seen, but its model sets a standard for integrating technology with sustainability governance in the coming decade.</w:t>
      </w:r>
      <w:r/>
    </w:p>
    <w:p>
      <w:pPr>
        <w:pStyle w:val="Heading3"/>
      </w:pPr>
      <w:r>
        <w:t>📌 Reference Map:</w:t>
      </w:r>
      <w:r/>
      <w:r/>
    </w:p>
    <w:p>
      <w:pPr>
        <w:pStyle w:val="ListBullet"/>
        <w:spacing w:line="240" w:lineRule="auto"/>
        <w:ind w:left="720"/>
      </w:pPr>
      <w:r/>
      <w:hyperlink r:id="rId9">
        <w:r>
          <w:rPr>
            <w:color w:val="0000EE"/>
            <w:u w:val="single"/>
          </w:rPr>
          <w:t>[1]</w:t>
        </w:r>
      </w:hyperlink>
      <w:r>
        <w:t xml:space="preserve"> (The Globe and Mail) - Paragraphs 1, 3, 4, 5, 6, 7, 8, 9, 10</w:t>
      </w:r>
      <w:r/>
    </w:p>
    <w:p>
      <w:pPr>
        <w:pStyle w:val="ListBullet"/>
        <w:spacing w:line="240" w:lineRule="auto"/>
        <w:ind w:left="720"/>
      </w:pPr>
      <w:r/>
      <w:hyperlink r:id="rId10">
        <w:r>
          <w:rPr>
            <w:color w:val="0000EE"/>
            <w:u w:val="single"/>
          </w:rPr>
          <w:t>[2]</w:t>
        </w:r>
      </w:hyperlink>
      <w:r>
        <w:t xml:space="preserve"> (EcoVadis) - Paragraph 2</w:t>
      </w:r>
      <w:r/>
    </w:p>
    <w:p>
      <w:pPr>
        <w:pStyle w:val="ListBullet"/>
        <w:spacing w:line="240" w:lineRule="auto"/>
        <w:ind w:left="720"/>
      </w:pPr>
      <w:r/>
      <w:hyperlink r:id="rId11">
        <w:r>
          <w:rPr>
            <w:color w:val="0000EE"/>
            <w:u w:val="single"/>
          </w:rPr>
          <w:t>[3]</w:t>
        </w:r>
      </w:hyperlink>
      <w:r>
        <w:t xml:space="preserve"> (Fenwick) - Paragraph 2</w:t>
      </w:r>
      <w:r/>
    </w:p>
    <w:p>
      <w:pPr>
        <w:pStyle w:val="ListBullet"/>
        <w:spacing w:line="240" w:lineRule="auto"/>
        <w:ind w:left="720"/>
      </w:pPr>
      <w:r/>
      <w:hyperlink r:id="rId12">
        <w:r>
          <w:rPr>
            <w:color w:val="0000EE"/>
            <w:u w:val="single"/>
          </w:rPr>
          <w:t>[4]</w:t>
        </w:r>
      </w:hyperlink>
      <w:r>
        <w:t xml:space="preserve"> (Kirkland) - Paragraph 2</w:t>
      </w:r>
      <w:r/>
    </w:p>
    <w:p>
      <w:pPr>
        <w:pStyle w:val="ListBullet"/>
        <w:spacing w:line="240" w:lineRule="auto"/>
        <w:ind w:left="720"/>
      </w:pPr>
      <w:r/>
      <w:hyperlink r:id="rId13">
        <w:r>
          <w:rPr>
            <w:color w:val="0000EE"/>
            <w:u w:val="single"/>
          </w:rPr>
          <w:t>[5]</w:t>
        </w:r>
      </w:hyperlink>
      <w:r>
        <w:t xml:space="preserve"> (AP News) - Paragraph 2</w:t>
      </w:r>
      <w:r/>
    </w:p>
    <w:p>
      <w:pPr>
        <w:pStyle w:val="ListBullet"/>
        <w:spacing w:line="240" w:lineRule="auto"/>
        <w:ind w:left="720"/>
      </w:pPr>
      <w:r/>
      <w:hyperlink r:id="rId14">
        <w:r>
          <w:rPr>
            <w:color w:val="0000EE"/>
            <w:u w:val="single"/>
          </w:rPr>
          <w:t>[6]</w:t>
        </w:r>
      </w:hyperlink>
      <w:r>
        <w:t xml:space="preserve"> (Wolters Kluwer) - Paragraph 2</w:t>
      </w:r>
      <w:r/>
    </w:p>
    <w:p>
      <w:pPr>
        <w:pStyle w:val="ListBullet"/>
        <w:spacing w:line="240" w:lineRule="auto"/>
        <w:ind w:left="720"/>
      </w:pPr>
      <w:r/>
      <w:hyperlink r:id="rId15">
        <w:r>
          <w:rPr>
            <w:color w:val="0000EE"/>
            <w:u w:val="single"/>
          </w:rPr>
          <w:t>[7]</w:t>
        </w:r>
      </w:hyperlink>
      <w:r>
        <w:t xml:space="preserve"> (Reuters)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https://www.theglobeandmail.com/investing/markets/indices/DOWI/pressreleases/35952949/ai-blockchain-and-sustainability-the-new-regulatory-advantage/</w:t>
        </w:r>
      </w:hyperlink>
      <w:r>
        <w:t xml:space="preserve"> - Please view link - unable to able to access data</w:t>
      </w:r>
      <w:r/>
    </w:p>
    <w:p>
      <w:pPr>
        <w:pStyle w:val="ListNumber"/>
        <w:spacing w:line="240" w:lineRule="auto"/>
        <w:ind w:left="720"/>
      </w:pPr>
      <w:r/>
      <w:hyperlink r:id="rId10">
        <w:r>
          <w:rPr>
            <w:color w:val="0000EE"/>
            <w:u w:val="single"/>
          </w:rPr>
          <w:t>https://ecovadis.com/regulations/california-climate-corporate-data-accountability-act-sb253/</w:t>
        </w:r>
      </w:hyperlink>
      <w:r>
        <w:t xml:space="preserve"> - This article provides an overview of California's SB 253, the Climate Corporate Data Accountability Act, which mandates that companies with annual global revenues exceeding $1 billion and operating in California disclose their Scope 1, 2, and 3 greenhouse gas emissions. The law introduces a phased approach to emissions reporting, with Scope 1 and 2 disclosures starting in 2026 and Scope 3 disclosures in 2027. It also outlines verification requirements and potential penalties for non-compliance, aiming to enhance transparency and accountability in corporate climate reporting.</w:t>
      </w:r>
      <w:r/>
    </w:p>
    <w:p>
      <w:pPr>
        <w:pStyle w:val="ListNumber"/>
        <w:spacing w:line="240" w:lineRule="auto"/>
        <w:ind w:left="720"/>
      </w:pPr>
      <w:r/>
      <w:hyperlink r:id="rId11">
        <w:r>
          <w:rPr>
            <w:color w:val="0000EE"/>
            <w:u w:val="single"/>
          </w:rPr>
          <w:t>https://www.fenwick.com/insights/publications/california-legislature-approves-amendments-to-climate-disclosure-laws</w:t>
        </w:r>
      </w:hyperlink>
      <w:r>
        <w:t xml:space="preserve"> - This publication discusses recent amendments to California's climate disclosure laws, particularly focusing on SB 253, the Climate Corporate Data Accountability Act. The amendments adjust timelines for reporting entities, extend the implementation guidance timeline, and provide flexibility in the timing for Scope 3 disclosures. Additionally, the article highlights the consolidation of reporting at the parent company level and changes to the annual fee payment schedule, reflecting the evolving regulatory landscape for corporate climate disclosures in California.</w:t>
      </w:r>
      <w:r/>
    </w:p>
    <w:p>
      <w:pPr>
        <w:pStyle w:val="ListNumber"/>
        <w:spacing w:line="240" w:lineRule="auto"/>
        <w:ind w:left="720"/>
      </w:pPr>
      <w:r/>
      <w:hyperlink r:id="rId12">
        <w:r>
          <w:rPr>
            <w:color w:val="0000EE"/>
            <w:u w:val="single"/>
          </w:rPr>
          <w:t>https://www.kirkland.com/-/media/content/bring-down/kirkland3/12-09-24/sb253strat.pdf</w:t>
        </w:r>
      </w:hyperlink>
      <w:r>
        <w:t xml:space="preserve"> - This document outlines the key details of California's Climate Corporate Data Accountability Act (SB 253), which requires U.S.-organized public and private entities with total annual revenues exceeding $1 billion and doing business in California to annually disclose their Scope 1, 2, and 3 greenhouse gas emissions. It details the reporting requirements, verification processes, timelines, and penalties for non-compliance, providing a comprehensive understanding of the act's implications for large corporations operating in California.</w:t>
      </w:r>
      <w:r/>
    </w:p>
    <w:p>
      <w:pPr>
        <w:pStyle w:val="ListNumber"/>
        <w:spacing w:line="240" w:lineRule="auto"/>
        <w:ind w:left="720"/>
      </w:pPr>
      <w:r/>
      <w:hyperlink r:id="rId13">
        <w:r>
          <w:rPr>
            <w:color w:val="0000EE"/>
            <w:u w:val="single"/>
          </w:rPr>
          <w:t>https://apnews.com/article/fcd2408d66c40330345a06676114551d</w:t>
        </w:r>
      </w:hyperlink>
      <w:r>
        <w:t xml:space="preserve"> - This article reports on California Governor Gavin Newsom signing a landmark law, SB 253, which mandates large businesses operating in the state to disclose their direct and indirect greenhouse gas emissions. The regulation affects over 5,300 companies with more than $1 billion in annual revenue and requires them to report emissions from various activities, including building operations, employee travel, and product transportation. The law aims to increase transparency about corporate contributions to climate change and motivate reductions in emissions.</w:t>
      </w:r>
      <w:r/>
    </w:p>
    <w:p>
      <w:pPr>
        <w:pStyle w:val="ListNumber"/>
        <w:spacing w:line="240" w:lineRule="auto"/>
        <w:ind w:left="720"/>
      </w:pPr>
      <w:r/>
      <w:hyperlink r:id="rId14">
        <w:r>
          <w:rPr>
            <w:color w:val="0000EE"/>
            <w:u w:val="single"/>
          </w:rPr>
          <w:t>https://www.wolterskluwer.com/en/expert-insights/california-climate-disclosure-laws</w:t>
        </w:r>
      </w:hyperlink>
      <w:r>
        <w:t xml:space="preserve"> - This article provides an overview of California's climate disclosure laws, focusing on SB 253 and SB 261. It details the disclosure requirements for companies with annual revenues above $1 billion, including the reporting of Scope 1, 2, and 3 emissions, third-party assurance of the reports, and the penalties for non-compliance. The article also discusses the timelines for implementation, with reporting for Scope 1 and 2 emissions starting in 2026 and Scope 3 emissions in 2027, offering insights into the regulatory landscape for corporate climate disclosures in California.</w:t>
      </w:r>
      <w:r/>
    </w:p>
    <w:p>
      <w:pPr>
        <w:pStyle w:val="ListNumber"/>
        <w:spacing w:line="240" w:lineRule="auto"/>
        <w:ind w:left="720"/>
      </w:pPr>
      <w:r/>
      <w:hyperlink r:id="rId15">
        <w:r>
          <w:rPr>
            <w:color w:val="0000EE"/>
            <w:u w:val="single"/>
          </w:rPr>
          <w:t>https://www.reuters.com/legal/government/california-asks-us-court-toss-challenge-state-climate-disclosure-laws-2024-03-28/</w:t>
        </w:r>
      </w:hyperlink>
      <w:r>
        <w:t xml:space="preserve"> - This article reports on California's request for a U.S. federal judge to dismiss most of a lawsuit filed by major U.S. business groups challenging the state's new climate disclosure laws. The laws require businesses to report their greenhouse gas emissions and climate-related risks. The state argues that the lawsuit is premature and alleges speculative harms since the California Air Resources Board has not yet enforced specific regulations. The article provides insights into the legal challenges and implications of California's climate disclosure laws.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indices/DOWI/pressreleases/35952949/ai-blockchain-and-sustainability-the-new-regulatory-advantage/" TargetMode="External"/><Relationship Id="rId10" Type="http://schemas.openxmlformats.org/officeDocument/2006/relationships/hyperlink" Target="https://ecovadis.com/regulations/california-climate-corporate-data-accountability-act-sb253/" TargetMode="External"/><Relationship Id="rId11" Type="http://schemas.openxmlformats.org/officeDocument/2006/relationships/hyperlink" Target="https://www.fenwick.com/insights/publications/california-legislature-approves-amendments-to-climate-disclosure-laws" TargetMode="External"/><Relationship Id="rId12" Type="http://schemas.openxmlformats.org/officeDocument/2006/relationships/hyperlink" Target="https://www.kirkland.com/-/media/content/bring-down/kirkland3/12-09-24/sb253strat.pdf" TargetMode="External"/><Relationship Id="rId13" Type="http://schemas.openxmlformats.org/officeDocument/2006/relationships/hyperlink" Target="https://apnews.com/article/fcd2408d66c40330345a06676114551d" TargetMode="External"/><Relationship Id="rId14" Type="http://schemas.openxmlformats.org/officeDocument/2006/relationships/hyperlink" Target="https://www.wolterskluwer.com/en/expert-insights/california-climate-disclosure-laws" TargetMode="External"/><Relationship Id="rId15" Type="http://schemas.openxmlformats.org/officeDocument/2006/relationships/hyperlink" Target="https://www.reuters.com/legal/government/california-asks-us-court-toss-challenge-state-climate-disclosure-laws-2024-03-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