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Expected Bank of England rate cut to boost UK housing market ahead of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is widely expected to deliver a base rate cut at its meeting scheduled for one week before Christmas, offering what many anticipate will be a festive boost to the UK housing market. The central bank’s recent decision to hold the base rate at 4.0% was narrowly divided, with five members of the Monetary Policy Committee (MPC) favouring the status quo and four advocating a 0.25% cut. This delicate balance underscores the ongoing debate among policymakers about how best to respond to current economic trends.</w:t>
      </w:r>
      <w:r/>
    </w:p>
    <w:p>
      <w:r/>
      <w:r>
        <w:t>Recent data have strengthened the case for a rate cut in December. Inflation has eased to 3.8%, below earlier expectations, while wage growth is softening and the broader economy has shown signs of slowing activity in the third quarter of the year. Nigel Green, chief executive of financial advisory firm deVere Group, noted that this combination signals an economy losing momentum and highlights the likelihood of a near-term rate reduction. Governor Andrew Bailey, however, has emphasised prudence, stating the MPC wants “to be sure that inflation is on track to return to our 2% target before we cut [rates] again.” The Bank’s projections foresee food price inflation remaining elevated this year due to global agricultural prices but easing in 2026. Meanwhile, consumption patterns have shifted as households seek to limit spending, with retailers reporting weaker sales, particularly affected by second-hand market competition and softer demand in services such as accommodation and dining.</w:t>
      </w:r>
      <w:r/>
    </w:p>
    <w:p>
      <w:r/>
      <w:r>
        <w:t>This cautious stance follows a year of gradual rate reductions that began in August 2024, when the Bank first responded to inflationary pressures linked to global events such as the Russia-Ukraine conflict. Despite the easing, UK inflation remains the highest among G7 countries, hovering near 3.8%, almost double the Bank’s target rate. The tone from the Treasury suggests further fiscal tightening is on the way, with the forthcoming Budget expected to include tax rises intended to reduce public debt and help rein in inflation, a move that could further slow economic growth.</w:t>
      </w:r>
      <w:r/>
    </w:p>
    <w:p>
      <w:r/>
      <w:r>
        <w:t>The housing market stands to benefit from the anticipated easing of interest rates, which Savills forecasts will contribute to a significant rise in average house prices, potentially increasing by 22.2% from 2025 to 2030. This growth is expected to be particularly strong in northern regions such as Yorkshire, the Humber, and Scotland, driven by improved affordability and economic conditions, while London and the South East are predicted to see more modest gains due to already high property prices. Lower interest rates combined with higher incomes and a stronger economy are set to accelerate property price increases in the latter part of the decade. First-time buyers are expected to drive much of this activity, supported by greater affordability and eased mortgage regulations. However, market confidence remains a critical factor, and the buy-to-let sector is likely to face consolidation amid evolving regulatory changes such as the Renters' Rights Bill.</w:t>
      </w:r>
      <w:r/>
    </w:p>
    <w:p>
      <w:r/>
      <w:r>
        <w:t>Mortgage rates have recently dipped below 5% for the first time since September, even as the Bank holds the base rate at 4%. Major lenders like Santander and Barclays have already reduced their two-year and five-year fixed rates, reflecting market expectations of forthcoming cuts. The average two-year fixed mortgage rate now sits at 4.94%, with five-year deals around 5%, signalling optimism for borrowers. Meanwhile, standard variable rates remain high at an average of 7.27%, prompting advice for those on such deals to consider fixing their rates or switching products to avoid elevated costs. The government continues to support mortgage holders through initiatives such as its mortgage charter, while homeowners with surplus income are encouraged to make overpayments to reduce future financial burdens.</w:t>
      </w:r>
      <w:r/>
    </w:p>
    <w:p>
      <w:r/>
      <w:r>
        <w:t>The Bank of England has emphasised a cautious and gradual approach to monetary policy adjustments. At its September meeting, the MPC reiterated that monetary policy is not on a predetermined path and will respond to incoming evidence about inflation and economic activity. Wage growth remains elevated but is expected to slow significantly, while the labour market shows signs of easing with an unemployment rate forecast to rise towards 5% and remain near that level into 2028. This slower pace of wage growth and rising joblessness underpin the Bank’s view that disinflationary pressures are continuing but require vigilance, as temporary spikes in inflation could still influence wage and price setting.</w:t>
      </w:r>
      <w:r/>
    </w:p>
    <w:p>
      <w:r/>
      <w:r>
        <w:t>Furthermore, the chief economist of the Bank, Huw Pill, has articulated a commitment to a conservative approach in monetary policy focused on price stability. Speaking at the University of Birmingham, he underscored the need for simple, robust principles in the face of economic uncertainty and highlighted that monetary policy has limited ability to influence long-term growth and employment. Pill’s remarks reinforce the Bank’s dedication to ensuring inflation returns to the 2% target, even if that means maintaining a somewhat restrictive policy for longer than some might wish.</w:t>
      </w:r>
      <w:r/>
    </w:p>
    <w:p>
      <w:r/>
      <w:r>
        <w:t>In summary, while the Bank of England’s recent hold on interest rates reflects caution amid an uncertain economic environment, widespread expectations of a December rate cut suggest a gradual shift in policy to support the housing market and broader economy. This likely easing of borrowing costs, combined with improving affordability and evolving government policies, positions the UK housing market for notable growth in the coming years, especially outside the traditionally expensive southern regions.</w:t>
      </w:r>
      <w:r/>
    </w:p>
    <w:p>
      <w:pPr>
        <w:pStyle w:val="Heading3"/>
      </w:pPr>
      <w:r>
        <w:t>📌 Reference Map:</w:t>
      </w:r>
      <w:r/>
      <w:r/>
    </w:p>
    <w:p>
      <w:pPr>
        <w:pStyle w:val="ListBullet"/>
        <w:spacing w:line="240" w:lineRule="auto"/>
        <w:ind w:left="720"/>
      </w:pPr>
      <w:r/>
      <w:hyperlink r:id="rId9">
        <w:r>
          <w:rPr>
            <w:color w:val="0000EE"/>
            <w:u w:val="single"/>
          </w:rPr>
          <w:t>[1]</w:t>
        </w:r>
      </w:hyperlink>
      <w:r>
        <w:t xml:space="preserve"> (Letting Agent Today) - Paragraphs 1, 2, 4, 6 </w:t>
      </w:r>
      <w:r/>
    </w:p>
    <w:p>
      <w:pPr>
        <w:pStyle w:val="ListBullet"/>
        <w:spacing w:line="240" w:lineRule="auto"/>
        <w:ind w:left="720"/>
      </w:pPr>
      <w:r/>
      <w:hyperlink r:id="rId10">
        <w:r>
          <w:rPr>
            <w:color w:val="0000EE"/>
            <w:u w:val="single"/>
          </w:rPr>
          <w:t>[2]</w:t>
        </w:r>
      </w:hyperlink>
      <w:r>
        <w:t xml:space="preserve"> (AP News) - Paragraphs 2, 3 </w:t>
      </w:r>
      <w:r/>
    </w:p>
    <w:p>
      <w:pPr>
        <w:pStyle w:val="ListBullet"/>
        <w:spacing w:line="240" w:lineRule="auto"/>
        <w:ind w:left="720"/>
      </w:pPr>
      <w:r/>
      <w:hyperlink r:id="rId11">
        <w:r>
          <w:rPr>
            <w:color w:val="0000EE"/>
            <w:u w:val="single"/>
          </w:rPr>
          <w:t>[3]</w:t>
        </w:r>
      </w:hyperlink>
      <w:r>
        <w:t xml:space="preserve"> (MoneyWeek) - Paragraph 5 </w:t>
      </w:r>
      <w:r/>
    </w:p>
    <w:p>
      <w:pPr>
        <w:pStyle w:val="ListBullet"/>
        <w:spacing w:line="240" w:lineRule="auto"/>
        <w:ind w:left="720"/>
      </w:pPr>
      <w:r/>
      <w:hyperlink r:id="rId12">
        <w:r>
          <w:rPr>
            <w:color w:val="0000EE"/>
            <w:u w:val="single"/>
          </w:rPr>
          <w:t>[4]</w:t>
        </w:r>
      </w:hyperlink>
      <w:r>
        <w:t xml:space="preserve"> (MoneyWeek) - Paragraph 6 </w:t>
      </w:r>
      <w:r/>
    </w:p>
    <w:p>
      <w:pPr>
        <w:pStyle w:val="ListBullet"/>
        <w:spacing w:line="240" w:lineRule="auto"/>
        <w:ind w:left="720"/>
      </w:pPr>
      <w:r/>
      <w:hyperlink r:id="rId13">
        <w:r>
          <w:rPr>
            <w:color w:val="0000EE"/>
            <w:u w:val="single"/>
          </w:rPr>
          <w:t>[5]</w:t>
        </w:r>
      </w:hyperlink>
      <w:r>
        <w:t xml:space="preserve"> (Bank of England) - Paragraph 7 </w:t>
      </w:r>
      <w:r/>
    </w:p>
    <w:p>
      <w:pPr>
        <w:pStyle w:val="ListBullet"/>
        <w:spacing w:line="240" w:lineRule="auto"/>
        <w:ind w:left="720"/>
      </w:pPr>
      <w:r/>
      <w:hyperlink r:id="rId14">
        <w:r>
          <w:rPr>
            <w:color w:val="0000EE"/>
            <w:u w:val="single"/>
          </w:rPr>
          <w:t>[6]</w:t>
        </w:r>
      </w:hyperlink>
      <w:r>
        <w:t xml:space="preserve"> (Parliamentary Treasury Committee) - Paragraph 3 </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https://www.lettingagenttoday.co.uk/breaking-news/2025/11/bank-of-england-set-to-give-housing-market-a-christmas-present/</w:t>
        </w:r>
      </w:hyperlink>
      <w:r>
        <w:t xml:space="preserve"> - Please view link - unable to able to access data</w:t>
      </w:r>
      <w:r/>
    </w:p>
    <w:p>
      <w:pPr>
        <w:pStyle w:val="ListNumber"/>
        <w:spacing w:line="240" w:lineRule="auto"/>
        <w:ind w:left="720"/>
      </w:pPr>
      <w:r/>
      <w:hyperlink r:id="rId10">
        <w:r>
          <w:rPr>
            <w:color w:val="0000EE"/>
            <w:u w:val="single"/>
          </w:rPr>
          <w:t>https://apnews.com/article/f660c574e9dbb7092271968a3fd0608c</w:t>
        </w:r>
      </w:hyperlink>
      <w:r>
        <w:t xml:space="preserve"> - On November 6, 2025, the Bank of England voted narrowly (5-4) to keep its key interest rate unchanged at 4%, signalling deep divisions among policymakers regarding the pace at which inflation is falling. Governor Andrew Bailey, who cast the deciding vote, emphasised the need for more certainty that inflation is on track to return to the bank’s 2% target before considering further rate cuts. This marks a departure from the bank's previous quarterly rate-cut pattern since August 2024, when it began lowering rates following a surge in inflation linked to Russia’s invasion of Ukraine. At 3.8%, U.K. inflation remains nearly double the target and the highest among G7 nations, though it may have peaked at a lower level than projected in August. The decision aligns with cautious optimism that inflation could fall back to target by next year, raising the possibility of a rate cut in December, depending on upcoming economic data and the impact of the U.K. government's critical November 26 budget. Treasury chief Rachel Reeves has signalled potential tax increases aimed at reducing public debt and inflation, which could slow the economy further.</w:t>
      </w:r>
      <w:r/>
    </w:p>
    <w:p>
      <w:pPr>
        <w:pStyle w:val="ListNumber"/>
        <w:spacing w:line="240" w:lineRule="auto"/>
        <w:ind w:left="720"/>
      </w:pPr>
      <w:r/>
      <w:hyperlink r:id="rId11">
        <w:r>
          <w:rPr>
            <w:color w:val="0000EE"/>
            <w:u w:val="single"/>
          </w:rPr>
          <w:t>https://moneyweek.com/investments/house-prices/savills-average-house-prices-grow-forecast</w:t>
        </w:r>
      </w:hyperlink>
      <w:r>
        <w:t xml:space="preserve"> - Savills predicts UK average house prices will increase by 22.2% from 2025 to 2030, with prices rising around £80,000 on average during that time. The northern regions—Yorkshire and The Humber, North East England, Scotland, Wales, and North West England—are projected to see the most significant growth, up to 28.8%, driven by improved affordability and economic conditions. In contrast, London and the South East are expected to grow the least, at just 13.6% and 17% respectively, due to already high property values. Savills forecasts that property growth will accelerate from modest gains in 2026 to stronger gains through 2030, amid lower interest rates, increasing income, and a stronger economy. The Bank of England base rate is expected to drop to 2.5% by 2030, with inflation falling to 2%. First-time buyers are anticipated to be key drivers of market activity due to better affordability and eased mortgage regulations. Housing transactions are forecast to approach pre-pandemic levels, with mortgage regulation loosened and rates dropping, though buyer confidence remains a key barrier. The buy-to-let sector will see consolidation due to regulatory shifts like the Renters' Rights Bill.</w:t>
      </w:r>
      <w:r/>
    </w:p>
    <w:p>
      <w:pPr>
        <w:pStyle w:val="ListNumber"/>
        <w:spacing w:line="240" w:lineRule="auto"/>
        <w:ind w:left="720"/>
      </w:pPr>
      <w:r/>
      <w:hyperlink r:id="rId12">
        <w:r>
          <w:rPr>
            <w:color w:val="0000EE"/>
            <w:u w:val="single"/>
          </w:rPr>
          <w:t>https://moneyweek.com/personal-finance/mortgages/latest-UK-mortgage-rates</w:t>
        </w:r>
      </w:hyperlink>
      <w:r>
        <w:t xml:space="preserve"> - As of November 3, 2025, average UK mortgage rates have dipped below 5% for the first time since September, with the average two-year fixed rate now at 4.94% and the five-year deal at 5%. This decline is occurring ahead of the Bank of England's upcoming interest rate decision, with the base rate currently at 4% and potential for further cuts driven by falling inflation (3.8%) and rising unemployment (4.8%). Swap rates, particularly the five-year SONIA swap, have also dropped to 3.5%, influencing fixed-rate mortgage pricing. Several major lenders, including Santander and Barclays, have already lowered their rates. Market forecasts suggest a cautious easing of interest rates into 2026, with lenders pricing in anticipated cuts. Homeowners reaching the end of low fixed-rate deals may consider fixing again, especially if they value stability. Tracker mortgages may be an alternative for those willing to take risks, while those on high standard variable rates (SVRs)—averaging 7.27%—are advised to switch to avoid excessive costs. Buy-to-let mortgage rates have also declined, and mortgage support remains available via the government's mortgage charter. Homeowners with surplus income are encouraged to consider overpayments to reduce future costs.</w:t>
      </w:r>
      <w:r/>
    </w:p>
    <w:p>
      <w:pPr>
        <w:pStyle w:val="ListNumber"/>
        <w:spacing w:line="240" w:lineRule="auto"/>
        <w:ind w:left="720"/>
      </w:pPr>
      <w:r/>
      <w:hyperlink r:id="rId13">
        <w:r>
          <w:rPr>
            <w:color w:val="0000EE"/>
            <w:u w:val="single"/>
          </w:rPr>
          <w:t>https://www.bankofengland.co.uk/monetary-policy-summary-and-minutes/2025/september-2025</w:t>
        </w:r>
      </w:hyperlink>
      <w:r>
        <w:t xml:space="preserve"> - At its meeting ending on 17 September 2025, the Monetary Policy Committee (MPC) voted by a majority of 7–2 to maintain Bank Rate at 4%. Two members voted to reduce Bank Rate by 0.25 percentage points, to 3.75%. The Committee noted substantial disinflation over the past two and a half years, following previous external shocks, supported by the restrictive stance of monetary policy. That progress has allowed for reductions in Bank Rate over the past year. The Committee remains focused on squeezing out any existing or emerging persistent inflationary pressures, to return inflation sustainably to its 2% target in the medium term. The path of disinflation in underlying domestic price and wage pressures has generally continued, albeit to different degrees. Twelve-month CPI inflation was 3.8% in August, and is expected to increase slightly in September, before falling towards the 2% target thereafter. The Committee remains alert to the risk that this temporary increase in inflation could put additional upward pressure on the wage and price-setting process. Pay growth remains elevated, but has fallen and is expected to slow significantly over the rest of the year. Services consumer price inflation has been broadly flat over recent months. The Committee continues to be vigilant about the extent to which easing pay pressures will feed through to consumer price inflation. Underlying UK GDP growth has remained subdued, consistent with a continued, gradual loosening in the labour market. A margin of slack is judged to have emerged in the economy. Downside domestic and geopolitical risks around economic activity remain, although trade policy uncertainty has diminished somewhat. At this meeting, the Committee voted to maintain Bank Rate at 4%. A gradual and careful approach to the further withdrawal of monetary policy restraint remains appropriate. The restrictiveness of monetary policy has fallen as Bank Rate has been reduced. The timing and pace of future reductions in the restrictiveness of policy will depend on the extent to which underlying disinflationary pressures continue to ease. Monetary policy is not on a pre-set path, and the Committee will remain responsive to the accumulation of evidence.</w:t>
      </w:r>
      <w:r/>
    </w:p>
    <w:p>
      <w:pPr>
        <w:pStyle w:val="ListNumber"/>
        <w:spacing w:line="240" w:lineRule="auto"/>
        <w:ind w:left="720"/>
      </w:pPr>
      <w:r/>
      <w:hyperlink r:id="rId14">
        <w:r>
          <w:rPr>
            <w:color w:val="0000EE"/>
            <w:u w:val="single"/>
          </w:rPr>
          <w:t>https://committees.parliament.uk/event/24961/formal-meeting-oral-evidence-session/</w:t>
        </w:r>
      </w:hyperlink>
      <w:r>
        <w:t xml:space="preserve"> - On 3 September 2025, the Governor of the Bank of England and other members of the Monetary Policy Committee (MPC) appeared before the Treasury Committee to discuss the Bank’s August Monetary Policy Report and the decision to reduce the Bank Rate by 0.25 percentage points to 4%. In an unprecedented situation, the MPC voted for a second time after the first ballot didn’t provide an outright majority. The result of the first vote was a split between four to keep Bank Rate unchanged at 4.25%, four preferring to cut by 0.25% to 4% and one voting for a 0.5% cut to 3.75%. The Governor proposed a second ballot on a forced choice between holding the current Bank Rate or a 0.25% cut, with the latter gaining Professor Taylor’s vote for a majority of five. This is the first time that a second vote has taken place. As well as Andrew Bailey, the Deputy Governor for Monetary Policy, Clare Lombardelli, and two External Members, Megan Greene and Professor Alan Taylor, gave evidence to the Committee. This means each vote preference was represented at the session. Including its vote in August 2024, the MPC has voted to cut the Bank Rate five times in the last year, to its current level of 4%.</w:t>
      </w:r>
      <w:r/>
    </w:p>
    <w:p>
      <w:pPr>
        <w:pStyle w:val="ListNumber"/>
        <w:spacing w:line="240" w:lineRule="auto"/>
        <w:ind w:left="720"/>
      </w:pPr>
      <w:r/>
      <w:hyperlink r:id="rId15">
        <w:r>
          <w:rPr>
            <w:color w:val="0000EE"/>
            <w:u w:val="single"/>
          </w:rPr>
          <w:t>https://www.reuters.com/world/uk/bank-englands-pill-reaffirms-commitment-inflation-targeting-2025-10-08/</w:t>
        </w:r>
      </w:hyperlink>
      <w:r>
        <w:t xml:space="preserve"> - Bank of England Chief Economist Huw Pill emphasised the need for a 'conservative' approach to interest rate setting in a speech at the University of Birmingham. He argued for prioritising price stability over broader economic goals like growth and employment, over which monetary policy holds limited long-term influence. Although not directly commenting on current policy, Pill indicated that central bankers must remain firm if inflation escalates. He noted that high economic uncertainty, due to geopolitical risks and unreliable data, undermines intricate modelling of rate decisions. Pill advocated for simple, robust principles—'eternal verities'—over complex economic optimisations. He also stressed that a credible commitment to aggressive measures against inflation could help suppress it preemptively. The Bank of England recently projected that the UK’s consumer price inflation stood at 4% in September and will not return to the 2% target until mid-2027.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ttingagenttoday.co.uk/breaking-news/2025/11/bank-of-england-set-to-give-housing-market-a-christmas-present/" TargetMode="External"/><Relationship Id="rId10" Type="http://schemas.openxmlformats.org/officeDocument/2006/relationships/hyperlink" Target="https://apnews.com/article/f660c574e9dbb7092271968a3fd0608c" TargetMode="External"/><Relationship Id="rId11" Type="http://schemas.openxmlformats.org/officeDocument/2006/relationships/hyperlink" Target="https://moneyweek.com/investments/house-prices/savills-average-house-prices-grow-forecast" TargetMode="External"/><Relationship Id="rId12" Type="http://schemas.openxmlformats.org/officeDocument/2006/relationships/hyperlink" Target="https://moneyweek.com/personal-finance/mortgages/latest-UK-mortgage-rates" TargetMode="External"/><Relationship Id="rId13" Type="http://schemas.openxmlformats.org/officeDocument/2006/relationships/hyperlink" Target="https://www.bankofengland.co.uk/monetary-policy-summary-and-minutes/2025/september-2025" TargetMode="External"/><Relationship Id="rId14" Type="http://schemas.openxmlformats.org/officeDocument/2006/relationships/hyperlink" Target="https://committees.parliament.uk/event/24961/formal-meeting-oral-evidence-session/" TargetMode="External"/><Relationship Id="rId15" Type="http://schemas.openxmlformats.org/officeDocument/2006/relationships/hyperlink" Target="https://www.reuters.com/world/uk/bank-englands-pill-reaffirms-commitment-inflation-targeting-2025-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