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Accounting sector accelerates transformation with private equity and AI-driven workplace and tech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accounting industry is undergoing notable shifts, driven by evolving firm environments, technological advancements, and changing workforce expectations. Among the most impactful developments is the increasing involvement of private equity firms (PEFs) in accounting firms, reshaping both operational models and recruitment strategies. For example, Blackstone's recent acquisition of a significant stake in Citrin Cooperman exemplifies this trend. According to the Wall Street Journal, this investment focuses on enhancing technological capabilities and integrating artificial intelligence (AI) tools to boost efficiency and innovation within the firm. Such private equity investments are anticipated to drive accounting firms towards greater reliance on technology, potentially leading to a reduction in traditional hiring volumes and a shift towards talent specialised in technology and AI.</w:t>
      </w:r>
      <w:r/>
    </w:p>
    <w:p>
      <w:r/>
      <w:r>
        <w:t>Parallel to these investment-driven transformations, the Big Four accounting firms, including KPMG, are adapting their workplace cultures to better attract and retain younger talent, particularly Gen Z. Timothy Walsh, who recently became KPMG's CEO after more than three decades with the firm, has unveiled plans to redesign office spaces with features such as moody lounges and barista bars. Speaking to Fortune, Walsh reflected on how the nature of work at KPMG has evolved dramatically since his early days as an intern, contrasting his initial monotony of filing loan documents with the sophisticated, skill-heavy roles embraced today. This modernisation of work environments reflects a broader industry-wide push to create more appealing, collaborative, and innovative workplaces that resonate with the expectations of today's workforce.</w:t>
      </w:r>
      <w:r/>
    </w:p>
    <w:p>
      <w:r/>
      <w:r>
        <w:t>However, these changes are not without controversy or challenges. KPMG's recent decision to eliminate overtime pay for junior auditors in the UK during busy season has sparked significant discontent among employees. According to the Financial Times, many junior auditors feel demotivated by this policy change, expressing concerns over incentives for long-term retention and questioning where future leadership will emerge if junior staff are not adequately recognised for their extra work. This move towards controlling costs and managing slow revenue growth may be a reaction to economic pressures but risks undermining morale in a demographic critical to the firms' succession planning.</w:t>
      </w:r>
      <w:r/>
    </w:p>
    <w:p>
      <w:r/>
      <w:r>
        <w:t>In parallel, Deloitte is facing legal scrutiny as a federal lawsuit accuses the firm and a former senior manager of sexual harassment and wrongful termination after an associate reported the abuse. Bloomberg Law details allegations that a senior manager attempted to kiss an associate against her will, leading to her firing after she reported the incident. This case adds to the ongoing conversation about workplace misconduct and accountability in large professional service firms.</w:t>
      </w:r>
      <w:r/>
    </w:p>
    <w:p>
      <w:r/>
      <w:r>
        <w:t>On the technological front, the adoption of AI is becoming central not only to operational efficiencies but also to staff development. EY has launched an AI training programme, AI Now 2.0, designed to help employees understand how AI will transform their roles and identify the skills they need for the future. As Business Insider reports, this tool acts as a “thought partner,” using internal AI akin to ChatGPT to analyse job functions and forecast AI’s impact on daily tasks. Industry-wide, nearly half of UK accountancy firms plan to invest upwards of £100,000 in AI technologies next year, according to Accountancy Age. This investment is driven by a belief among 83% of senior decision-makers that AI fluency will soon outweigh traditional accounting expertise, signalling a profound shift in skill requirements.</w:t>
      </w:r>
      <w:r/>
    </w:p>
    <w:p>
      <w:r/>
      <w:r>
        <w:t>The growing integration of AI also extends to financial crime prevention, with Asian banks embracing AI technologies as part of a cyberfraud detection arms race. However, the South China Morning Post reports that while AI enhances monitoring and sanction screening, the rapid evolution of criminal tactics continues to challenge these systems’ effectiveness.</w:t>
      </w:r>
      <w:r/>
    </w:p>
    <w:p>
      <w:r/>
      <w:r>
        <w:t>Meanwhile, mergers among mid-tier firms like BDO, which is contemplating a union of its UK and Irish operations, could consolidate resources and enhance competitiveness in an environment increasingly dominated by technology investment and AI-driven workflows. Such consolidations could allow firms to pool revenues and expand regional footprints, potentially strengthening their market positions.</w:t>
      </w:r>
      <w:r/>
    </w:p>
    <w:p>
      <w:r/>
      <w:r>
        <w:t>These developments collectively illustrate a sector in transition, where investment, innovation, and cultural change intersect with challenges in employee relations and regulatory scrutiny. How firms navigate this complex landscape will shape the future of accounting education, talent development, and service delivery for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(Going Concern) - Paragraphs 1, 3, 5, 6, 7</w:t>
      </w:r>
      <w:r/>
    </w:p>
    <w:p>
      <w:pPr>
        <w:pStyle w:val="ListBullet"/>
        <w:spacing w:line="240" w:lineRule="auto"/>
        <w:ind w:left="720"/>
      </w:pPr>
      <w:r/>
      <w:hyperlink r:id="rId10">
        <w:r>
          <w:rPr>
            <w:color w:val="0000EE"/>
            <w:u w:val="single"/>
          </w:rPr>
          <w:t>[2]</w:t>
        </w:r>
      </w:hyperlink>
      <w:r>
        <w:t xml:space="preserve"> (Wall Street Journal) - Paragraph 1</w:t>
      </w:r>
      <w:r/>
    </w:p>
    <w:p>
      <w:pPr>
        <w:pStyle w:val="ListBullet"/>
        <w:spacing w:line="240" w:lineRule="auto"/>
        <w:ind w:left="720"/>
      </w:pPr>
      <w:r/>
      <w:hyperlink r:id="rId11">
        <w:r>
          <w:rPr>
            <w:color w:val="0000EE"/>
            <w:u w:val="single"/>
          </w:rPr>
          <w:t>[3]</w:t>
        </w:r>
      </w:hyperlink>
      <w:r>
        <w:t xml:space="preserve"> (Fortune) - Paragraph 2</w:t>
      </w:r>
      <w:r/>
    </w:p>
    <w:p>
      <w:pPr>
        <w:pStyle w:val="ListBullet"/>
        <w:spacing w:line="240" w:lineRule="auto"/>
        <w:ind w:left="720"/>
      </w:pPr>
      <w:r/>
      <w:hyperlink r:id="rId12">
        <w:r>
          <w:rPr>
            <w:color w:val="0000EE"/>
            <w:u w:val="single"/>
          </w:rPr>
          <w:t>[4]</w:t>
        </w:r>
      </w:hyperlink>
      <w:r>
        <w:t xml:space="preserve"> (Bloomberg Law) - Paragraph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https://www.goingconcern.com/friday-footnotes-bye-bye-overtime-for-kpmg-juniors-ex-deloitte-employee-sues-after-her-senior-manager-allegedly-got-handsy-11-7-25/</w:t>
        </w:r>
      </w:hyperlink>
      <w:r>
        <w:t xml:space="preserve"> - Please view link - unable to able to access data</w:t>
      </w:r>
      <w:r/>
    </w:p>
    <w:p>
      <w:pPr>
        <w:pStyle w:val="ListNumber"/>
        <w:spacing w:line="240" w:lineRule="auto"/>
        <w:ind w:left="720"/>
      </w:pPr>
      <w:r/>
      <w:hyperlink r:id="rId10">
        <w:r>
          <w:rPr>
            <w:color w:val="0000EE"/>
            <w:u w:val="single"/>
          </w:rPr>
          <w:t>https://www.wsj.com/articles/blackstone-buying-stake-in-accounting-firm-citrin-cooperman-11646000000</w:t>
        </w:r>
      </w:hyperlink>
      <w:r>
        <w:t xml:space="preserve"> - In January 2025, Blackstone, a leading private equity firm, acquired a significant stake in Citrin Cooperman, a prominent accounting firm. This investment aims to enhance Citrin Cooperman's technological capabilities and service offerings, aligning with the growing trend of private equity firms investing in accounting firms to drive efficiency and innovation. The deal underscores the increasing interest in the accounting sector from private equity investors seeking to capitalize on steady revenue streams and growth opportunities.</w:t>
      </w:r>
      <w:r/>
    </w:p>
    <w:p>
      <w:pPr>
        <w:pStyle w:val="ListNumber"/>
        <w:spacing w:line="240" w:lineRule="auto"/>
        <w:ind w:left="720"/>
      </w:pPr>
      <w:r/>
      <w:hyperlink r:id="rId11">
        <w:r>
          <w:rPr>
            <w:color w:val="0000EE"/>
            <w:u w:val="single"/>
          </w:rPr>
          <w:t>https://fortune.com/2025/01/07/kpmg-ceo-timothy-walsh-new-office-design-to-attract-gen-z/</w:t>
        </w:r>
      </w:hyperlink>
      <w:r>
        <w:t xml:space="preserve"> - Timothy Walsh, KPMG's new CEO, plans to attract Gen Z talent by redesigning the firm's office spaces. Drawing from his early experiences as an intern, Walsh envisions modernized work environments featuring moody lounges and barista bars. This initiative reflects a broader industry trend of adapting workplace cultures to appeal to younger generations, aiming to foster innovation and retain top talent in a competitive market.</w:t>
      </w:r>
      <w:r/>
    </w:p>
    <w:p>
      <w:pPr>
        <w:pStyle w:val="ListNumber"/>
        <w:spacing w:line="240" w:lineRule="auto"/>
        <w:ind w:left="720"/>
      </w:pPr>
      <w:r/>
      <w:hyperlink r:id="rId12">
        <w:r>
          <w:rPr>
            <w:color w:val="0000EE"/>
            <w:u w:val="single"/>
          </w:rPr>
          <w:t>https://www.bloomberglaw.com/product/employee-benefits/document/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w:t>
        </w:r>
      </w:hyperlink>
      <w:r>
        <w:t xml:space="preserve"> - None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ingconcern.com/friday-footnotes-bye-bye-overtime-for-kpmg-juniors-ex-deloitte-employee-sues-after-her-senior-manager-allegedly-got-handsy-11-7-25/" TargetMode="External"/><Relationship Id="rId10" Type="http://schemas.openxmlformats.org/officeDocument/2006/relationships/hyperlink" Target="https://www.wsj.com/articles/blackstone-buying-stake-in-accounting-firm-citrin-cooperman-11646000000" TargetMode="External"/><Relationship Id="rId11" Type="http://schemas.openxmlformats.org/officeDocument/2006/relationships/hyperlink" Target="https://fortune.com/2025/01/07/kpmg-ceo-timothy-walsh-new-office-design-to-attract-gen-z/" TargetMode="External"/><Relationship Id="rId12" Type="http://schemas.openxmlformats.org/officeDocument/2006/relationships/hyperlink" Target="https://www.bloomberglaw.com/product/employee-benefits/document/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0X"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