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Goldman Sachs raises FTSE 100 target amid tech and travel stock declines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FTSE 100 ended a challenging week on a downbeat note, closing 0.6% lower at 9,682.57, with significant selling pressure notably impacting heavyweight stocks such as Rightmove and IAG. The FTSE 250 and AIM All-Share also fell by 0.6% and 0.5%, respectively, marking a broader weakness in the UK equity market. This retreat was mirrored across European indices, the CAC 40 slipped 0.2%, and Frankfurt’s DAX 40 declined by 0.7%. Wall Street experienced similar turbulence, with the Dow Jones down 0.6%, the S&amp;P 500 off 1.1%, and the tech-heavy Nasdaq retreating 1.9%.</w:t>
      </w:r>
      <w:r/>
    </w:p>
    <w:p>
      <w:r/>
      <w:r>
        <w:t>The sharp selling in mega-cap technology stocks and semiconductor shares was a key driver behind this downtrend, though analysts suggest this may be a temporary dip rather than a sustained reversal. Joshua Mahony from Scope Markets noted that despite current weakness, robust corporate profitability and continued AI-driven earnings support could make this an opportunity for investors to buy rather than sell. At the same time, Mark Haefele, UBS Global Wealth Management’s chief investment officer, highlighted that recent volatility is not unexpected after several strong months and that underlying tech sector fundamentals remain strong, with high valuations not necessarily signaling an imminent downturn.</w:t>
      </w:r>
      <w:r/>
    </w:p>
    <w:p>
      <w:r/>
      <w:r>
        <w:t>Against this backdrop of nervous market conditions, Goldman Sachs took a more optimistic view on the UK’s blue-chip index, raising its 12-month FTSE 100 target to 10,200 from a previous 9,600. The investment bank pointed to improved earnings growth forecasts for 2025 and 2026 as the basis for this upgrade, reflecting confidence in the underlying economic and corporate growth outlook.</w:t>
      </w:r>
      <w:r/>
    </w:p>
    <w:p>
      <w:r/>
      <w:r>
        <w:t>Adding complexity to this market scenario, two prominent FTSE 100 stocks saw particularly steep declines. Rightmove plunged 12% after announcing plans to escalate investment in artificial intelligence and consumer innovation through 2026 to 2028. The company signalled that this increased expenditure would temper its operating profit growth in the near term, guiding for revenue growth of 8% to 10% but more modest operating profit growth of 3% to 5%. Analysts, including those from Citi, suggested these projections could lead to downside revisions in operating profit estimates. Russ Mould of AJ Bell commented that while investing for future growth is positive, the market reacted negatively due to scepticism about the volume of AI-related spending.</w:t>
      </w:r>
      <w:r/>
    </w:p>
    <w:p>
      <w:r/>
      <w:r>
        <w:t>Similarly, airline giant IAG saw shares fall by 12%, weighed down by a reported softness in US leisure travel demand and more intense competitive pressures in Europe, which have driven down unit prices. IAG acknowledged these market challenges in its statement but did not point to any structural changes in demand.</w:t>
      </w:r>
      <w:r/>
    </w:p>
    <w:p>
      <w:r/>
      <w:r>
        <w:t>On the political and economic policy front, Chancellor Rachel Reeves has submitted plans to the UK’s Office for Budget Responsibility for assessment. Reports indicate potential increases to income tax rates by two percentage points across most bands, paired with a reduction in national insurance contributions for basic-rate taxpayers. This is part of government efforts to balance fiscal objectives with economic growth considerations.</w:t>
      </w:r>
      <w:r/>
    </w:p>
    <w:p>
      <w:r/>
      <w:r>
        <w:t>In the wider European context, Goldman Sachs has revised its earnings forecasts and stock market targets multiple times amid geopolitical tensions and economic uncertainties. While the firm lowered its forecast for Europe’s STOXX 600 index earlier, citing US trade policy risks and slower earnings growth, a recent trade truce between the US and China has sparked renewed optimism, resulting in raised targets and improved investor sentiment. Barclays, meanwhile, has shown a more cautious stance, frequently downgrading European market targets due to ongoing recession fears and escalating trade disputes, underscoring the prevailing uncertainty in global markets.</w:t>
      </w:r>
      <w:r/>
    </w:p>
    <w:p>
      <w:r/>
      <w:r>
        <w:t>Goldman Sachs has also upgraded its global equities stance to overweight, buoyed by improving economic momentum and supportive fiscal and monetary policies. This outlook sees equities as well-positioned to benefit from expected Federal Reserve interest rate cuts and sustained corporate profitability, despite late-cycle risks that temper the outlook for global credit and cash investments.</w:t>
      </w:r>
      <w:r/>
    </w:p>
    <w:p>
      <w:r/>
      <w:r>
        <w:t>Currency markets showed modest moves, with sterling rising slightly to around 1.3166 dollars, while the euro also inched up against the US dollar. US Treasury yields exhibited a small decline, reflecting cautious investor sentiment amid the market volatility.</w:t>
      </w:r>
      <w:r/>
    </w:p>
    <w:p>
      <w:r/>
      <w:r>
        <w:t>Looking ahead, UK economic data releases next week, including jobs, earnings, and GDP figures, alongside key data from China and the eurozone, will be closely monitored as markets seek clearer signals on growth trajectories. Meanwhile, corporate earnings announcements from firms such as Applied Nutrition, Aviva, and Rolls-Royce are anticipated to offer further insights into sectoral performance and economic health.</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Paragraphs 1, 2, 3, 4, 5, 6, 8, 9, 10, 11, 12, 13 </w:t>
      </w:r>
      <w:r/>
    </w:p>
    <w:p>
      <w:pPr>
        <w:pStyle w:val="ListBullet"/>
        <w:spacing w:line="240" w:lineRule="auto"/>
        <w:ind w:left="720"/>
      </w:pPr>
      <w:r/>
      <w:hyperlink r:id="rId10">
        <w:r>
          <w:rPr>
            <w:color w:val="0000EE"/>
            <w:u w:val="single"/>
          </w:rPr>
          <w:t>[2]</w:t>
        </w:r>
      </w:hyperlink>
      <w:r>
        <w:t xml:space="preserve"> (Evening Standard) - Paragraphs 1, 4, 5 </w:t>
      </w:r>
      <w:r/>
    </w:p>
    <w:p>
      <w:pPr>
        <w:pStyle w:val="ListBullet"/>
        <w:spacing w:line="240" w:lineRule="auto"/>
        <w:ind w:left="720"/>
      </w:pPr>
      <w:r/>
      <w:hyperlink r:id="rId11">
        <w:r>
          <w:rPr>
            <w:color w:val="0000EE"/>
            <w:u w:val="single"/>
          </w:rPr>
          <w:t>[3]</w:t>
        </w:r>
      </w:hyperlink>
      <w:r>
        <w:t xml:space="preserve"> (Reuters, Emerging Markets Report) - Paragraph 7 </w:t>
      </w:r>
      <w:r/>
    </w:p>
    <w:p>
      <w:pPr>
        <w:pStyle w:val="ListBullet"/>
        <w:spacing w:line="240" w:lineRule="auto"/>
        <w:ind w:left="720"/>
      </w:pPr>
      <w:r/>
      <w:hyperlink r:id="rId12">
        <w:r>
          <w:rPr>
            <w:color w:val="0000EE"/>
            <w:u w:val="single"/>
          </w:rPr>
          <w:t>[4]</w:t>
        </w:r>
      </w:hyperlink>
      <w:r>
        <w:t xml:space="preserve"> (Reuters, Europe STOXX Forecast) - Paragraph 7 </w:t>
      </w:r>
      <w:r/>
    </w:p>
    <w:p>
      <w:pPr>
        <w:pStyle w:val="ListBullet"/>
        <w:spacing w:line="240" w:lineRule="auto"/>
        <w:ind w:left="720"/>
      </w:pPr>
      <w:r/>
      <w:hyperlink r:id="rId13">
        <w:r>
          <w:rPr>
            <w:color w:val="0000EE"/>
            <w:u w:val="single"/>
          </w:rPr>
          <w:t>[5]</w:t>
        </w:r>
      </w:hyperlink>
      <w:r>
        <w:t xml:space="preserve"> (Reuters, Trade Truce Impact) - Paragraph 7 </w:t>
      </w:r>
      <w:r/>
    </w:p>
    <w:p>
      <w:pPr>
        <w:pStyle w:val="ListBullet"/>
        <w:spacing w:line="240" w:lineRule="auto"/>
        <w:ind w:left="720"/>
      </w:pPr>
      <w:r/>
      <w:hyperlink r:id="rId14">
        <w:r>
          <w:rPr>
            <w:color w:val="0000EE"/>
            <w:u w:val="single"/>
          </w:rPr>
          <w:t>[6]</w:t>
        </w:r>
      </w:hyperlink>
      <w:r>
        <w:t xml:space="preserve"> (Reuters, Barclays Market Outlook) - Paragraph 7 </w:t>
      </w:r>
      <w:r/>
    </w:p>
    <w:p>
      <w:pPr>
        <w:pStyle w:val="ListBullet"/>
        <w:spacing w:line="240" w:lineRule="auto"/>
        <w:ind w:left="720"/>
      </w:pPr>
      <w:r/>
      <w:hyperlink r:id="rId15">
        <w:r>
          <w:rPr>
            <w:color w:val="0000EE"/>
            <w:u w:val="single"/>
          </w:rPr>
          <w:t>[7]</w:t>
        </w:r>
      </w:hyperlink>
      <w:r>
        <w:t xml:space="preserve"> (Reuters, Global Equities Outlook) - Paragraph 8</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https://www.independent.co.uk/news/business/rightmove-iag-rachel-reeves-goldman-sachs-office-for-budget-responsibility-b2861004.html</w:t>
        </w:r>
      </w:hyperlink>
      <w:r>
        <w:t xml:space="preserve"> - Please view link - unable to able to access data</w:t>
      </w:r>
      <w:r/>
    </w:p>
    <w:p>
      <w:pPr>
        <w:pStyle w:val="ListNumber"/>
        <w:spacing w:line="240" w:lineRule="auto"/>
        <w:ind w:left="720"/>
      </w:pPr>
      <w:r/>
      <w:hyperlink r:id="rId10">
        <w:r>
          <w:rPr>
            <w:color w:val="0000EE"/>
            <w:u w:val="single"/>
          </w:rPr>
          <w:t>https://www.standard.co.uk/business/business-news/rightmove-iag-rachel-reeves-goldman-sachs-office-for-budget-responsibility-b1257159.html</w:t>
        </w:r>
      </w:hyperlink>
      <w:r>
        <w:t xml:space="preserve"> - The FTSE 100 index closed down 53.21 points, or 0.6%, at 9,682.57, influenced by significant declines in Rightmove and IAG shares. Goldman Sachs raised its 12-month forecast for the FTSE 100 to 10,200, up from 9,600, citing increased earnings growth projections for 2025 and 2026. Rightmove's stock fell 12% after announcing plans to invest heavily in artificial intelligence, potentially slowing operating profit growth. IAG's shares dropped 12% due to reported softness in US travel and weaker European market prices. The Office for Budget Responsibility is reviewing Chancellor Rachel Reeves' proposed tax-raising plans, including potential increases in income tax rates and reductions in national insurance contributions.</w:t>
      </w:r>
      <w:r/>
    </w:p>
    <w:p>
      <w:pPr>
        <w:pStyle w:val="ListNumber"/>
        <w:spacing w:line="240" w:lineRule="auto"/>
        <w:ind w:left="720"/>
      </w:pPr>
      <w:r/>
      <w:hyperlink r:id="rId11">
        <w:r>
          <w:rPr>
            <w:color w:val="0000EE"/>
            <w:u w:val="single"/>
          </w:rPr>
          <w:t>https://www.reuters.com/business/finance/goldman-sachs-raises-emerging-markets-target-ai-driven-china-rally-2025-03-06/</w:t>
        </w:r>
      </w:hyperlink>
      <w:r>
        <w:t xml:space="preserve"> - Goldman Sachs increased its 12-month target for the MSCI Emerging Markets Index to 1,220, up 3% from the previous target of 1,190, anticipating an 11% potential upside. This adjustment reflects the impact of AI adoption on earnings, valuations, and portfolio flows, particularly in Chinese equities, which are expected to positively influence other markets. The firm noted that the rally in Chinese stocks could extend to broader emerging markets, especially those sensitive to China, which have been underperforming compared to their historical correlation with Chinese equities. Additionally, the rise in Chinese markets could be bolstered by stimulus measures, following the fiscal stimulus announcement at the "Two Sessions," aiming to stabilize growth and uplift market sentiment.</w:t>
      </w:r>
      <w:r/>
    </w:p>
    <w:p>
      <w:pPr>
        <w:pStyle w:val="ListNumber"/>
        <w:spacing w:line="240" w:lineRule="auto"/>
        <w:ind w:left="720"/>
      </w:pPr>
      <w:r/>
      <w:hyperlink r:id="rId12">
        <w:r>
          <w:rPr>
            <w:color w:val="0000EE"/>
            <w:u w:val="single"/>
          </w:rPr>
          <w:t>https://www.reuters.com/markets/europe/goldman-sachs-cuts-12-month-europes-stoxx-600-forecast-2025-04-01/</w:t>
        </w:r>
      </w:hyperlink>
      <w:r>
        <w:t xml:space="preserve"> - Goldman Sachs reduced its 12-month forecast for Europe's STOXX 600 index to 570 points from the initial 580, due to the potential impact of U.S. President Donald Trump's proposed reciprocal tariffs that may target all countries. This move has created concerns about an economic slowdown, reflected by the index's recent close at 533.92 points. Additionally, Goldman Sachs has lowered its projections for European earnings per share, anticipating a growth of 2% in 2025 and 4% in 2026, down from previous estimates. However, the European region may not experience significant repercussions due to planned fiscal and defensive spending over the next 2-3 years. Despite these challenges, Europe's stock market is considered relatively cushioned compared to the U.S. Goldman Sachs also raised the probability of a U.S. recession to 35% and forecasted three interest rate cuts from both the U.S. Federal Reserve and the European Central Bank in 2025. The UK's FTSE 100 index forecast was increased to 9,100 points from 9,000.</w:t>
      </w:r>
      <w:r/>
    </w:p>
    <w:p>
      <w:pPr>
        <w:pStyle w:val="ListNumber"/>
        <w:spacing w:line="240" w:lineRule="auto"/>
        <w:ind w:left="720"/>
      </w:pPr>
      <w:r/>
      <w:hyperlink r:id="rId13">
        <w:r>
          <w:rPr>
            <w:color w:val="0000EE"/>
            <w:u w:val="single"/>
          </w:rPr>
          <w:t>https://www.reuters.com/markets/europe/barclays-goldman-raise-stoxx-600-targets-trade-truce-eases-recession-fears-2025-05-14/</w:t>
        </w:r>
      </w:hyperlink>
      <w:r>
        <w:t xml:space="preserve"> - Goldman Sachs and Barclays have raised their forecasts for the European STOXX 600 index following a positive shift in investor sentiment due to a U.S.-China trade truce that alleviates global recession fears. Goldman increased its 12-month target for the STOXX 600 from 520 to 570 points, while Barclays revised its 2025 year-end forecast from 490 to 540 points. The index had already surpassed Barclays’ estimate, closing at 545.17 on Tuesday. The uplift in outlook follows an agreement between the U.S. and China to reduce tariffs for 90 days, with the U.S. lowering tariffs from 145% to 30% and China cutting them from 125% to 10%. Although prospects have improved, Goldman notes that further gains for European equities may be constrained due to muted earnings growth and historically average valuations. However, Goldman upgraded its earnings-per-share estimate for the STOXX 600 from -7% to 0% aided by strong Q1 results, and also raised the FTSE 100 target from 8,500 to 8,800. Despite these upgrades, markets dipped slightly in early Wednesday trading.</w:t>
      </w:r>
      <w:r/>
    </w:p>
    <w:p>
      <w:pPr>
        <w:pStyle w:val="ListNumber"/>
        <w:spacing w:line="240" w:lineRule="auto"/>
        <w:ind w:left="720"/>
      </w:pPr>
      <w:r/>
      <w:hyperlink r:id="rId14">
        <w:r>
          <w:rPr>
            <w:color w:val="0000EE"/>
            <w:u w:val="single"/>
          </w:rPr>
          <w:t>https://www.reuters.com/markets/europe/barclays-cuts-its-stoxx-600-target-again-says-crisis-muddying-forecasts-2025-04-07/</w:t>
        </w:r>
      </w:hyperlink>
      <w:r>
        <w:t xml:space="preserve"> - On April 7, 2025, Barclays revised its year-end target for Europe's STOXX 600 index down to 490 from the previous 580, marking the second reduction in under a month due to escalating trade tensions and growing recession fears. The firm highlighted the uncertainty surrounding forecasts, noting the lack of precedent or fundamental models for the ongoing crisis. European stocks tumbled to a 16-month low following renewed U.S. tariff threats by President Trump, intensifying global economic anxiety. Barclays indicated a potential worst-case scenario of the index dropping to 390 points, with a possible rebound to 550 if trade disputes ease swiftly. The index closed at 496.33 on the prior Friday. Echoing caution, Barclays strategists, led by Emmanuel Cau, suggested a prolonged recovery for global equities. Concurrently, other financial institutions raised their recession risk predictions, with J.P. Morgan estimating a 60% chance of a U.S. and global recession, and Goldman Sachs at 45%. Barclays also adjusted its investment outlook, turning "overweight" on the UK's FTSE 100 due to its defensive composition amid stagflation concerns and making sectoral shifts by upgrading healthcare to "market weight" and downgrading diversified financials and leisure.</w:t>
      </w:r>
      <w:r/>
    </w:p>
    <w:p>
      <w:pPr>
        <w:pStyle w:val="ListNumber"/>
        <w:spacing w:line="240" w:lineRule="auto"/>
        <w:ind w:left="720"/>
      </w:pPr>
      <w:r/>
      <w:hyperlink r:id="rId15">
        <w:r>
          <w:rPr>
            <w:color w:val="0000EE"/>
            <w:u w:val="single"/>
          </w:rPr>
          <w:t>https://www.reuters.com/business/goldman-sachs-upgrades-global-equities-growth-optimism-policy-support-2025-09-29/</w:t>
        </w:r>
      </w:hyperlink>
      <w:r>
        <w:t xml:space="preserve"> - Goldman Sachs has upgraded its global equities rating to "overweight" from "neutral" for the next three months, attributing the move to strengthening economic momentum, favorable valuations, and increasing fiscal and monetary policy support. The firm also maintains an "overweight" stance for the 12-month outlook. Equities have been buoyed by the belief that the U.S. Federal Reserve’s early interest rate cuts have prevented a recession, with the MSCI World Index rising about 35% from April lows and the S&amp;P 500 forecast raised to 6,800 by Goldman. Analysts suggest that equities typically perform well during late-cycle economic phases with strong policy support, similar to trends seen in the 1990s and 1960s. However, Goldman downgraded global credit to "underweight" due to late-cycle risks and high valuations, and it also cut its 12-month outlook on cash, warning that further Fed rate cuts could significantly reduce returns.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news/business/rightmove-iag-rachel-reeves-goldman-sachs-office-for-budget-responsibility-b2861004.html" TargetMode="External"/><Relationship Id="rId10" Type="http://schemas.openxmlformats.org/officeDocument/2006/relationships/hyperlink" Target="https://www.standard.co.uk/business/business-news/rightmove-iag-rachel-reeves-goldman-sachs-office-for-budget-responsibility-b1257159.html" TargetMode="External"/><Relationship Id="rId11" Type="http://schemas.openxmlformats.org/officeDocument/2006/relationships/hyperlink" Target="https://www.reuters.com/business/finance/goldman-sachs-raises-emerging-markets-target-ai-driven-china-rally-2025-03-06/" TargetMode="External"/><Relationship Id="rId12" Type="http://schemas.openxmlformats.org/officeDocument/2006/relationships/hyperlink" Target="https://www.reuters.com/markets/europe/goldman-sachs-cuts-12-month-europes-stoxx-600-forecast-2025-04-01/" TargetMode="External"/><Relationship Id="rId13" Type="http://schemas.openxmlformats.org/officeDocument/2006/relationships/hyperlink" Target="https://www.reuters.com/markets/europe/barclays-goldman-raise-stoxx-600-targets-trade-truce-eases-recession-fears-2025-05-14/" TargetMode="External"/><Relationship Id="rId14" Type="http://schemas.openxmlformats.org/officeDocument/2006/relationships/hyperlink" Target="https://www.reuters.com/markets/europe/barclays-cuts-its-stoxx-600-target-again-says-crisis-muddying-forecasts-2025-04-07/" TargetMode="External"/><Relationship Id="rId15" Type="http://schemas.openxmlformats.org/officeDocument/2006/relationships/hyperlink" Target="https://www.reuters.com/business/goldman-sachs-upgrades-global-equities-growth-optimism-policy-support-2025-09-29/"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