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 surge ahead of UK budget signals shift towards high-volume trading and tax-driven investor caution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financial markets have witnessed an extraordinary surge in trading activity, with volumes soaring by an unprecedented 500%. This dramatic increase is largely attributed to market participants reacting to the forthcoming UK budget and the anticipated shifts in tax policies. Investors, facing uncertainty about future fiscal measures, have been repositioning their portfolios aggressively, reflecting both a strategic response to perceived opportunities and caution ahead of potential tax hikes.</w:t>
      </w:r>
      <w:r/>
    </w:p>
    <w:p>
      <w:r/>
      <w:r>
        <w:t>Central to this surge is speculation around significant changes in capital gains tax (CGT), corporate taxation, and other fiscal adjustments expected in the upcoming budget. Investors are particularly focused on potential increases in CGT rates, as well as alterations in business asset disposal relief, which the government’s recent bulletin indicates may see rates rise by up to 10 percentage points in some brackets. Industry data shows that such anticipated tax reforms tend to drive markets to react swiftly, amplifying trading turnover as investors seek to secure gains before new rules take effect.</w:t>
      </w:r>
      <w:r/>
    </w:p>
    <w:p>
      <w:r/>
      <w:r>
        <w:t>The spike in market activity is not without precedent in terms of investor sensitivity to fiscal policy, but the magnitude is notable. Trading Economics highlights that this level of volume escalation is historic, with liquidity surging amid heightened volatility. This combination denotes a market at once opportunistic and tense, as investors balance risk mitigation with speculative positioning. Such conditions often precede broad market adjustments, and analysts warn that while some will capitalise on short-term movements, these changes may presage longer-term shifts in valuation and investment strategy.</w:t>
      </w:r>
      <w:r/>
    </w:p>
    <w:p>
      <w:r/>
      <w:r>
        <w:t>Specific sectors have shown varied responses to the evolving tax landscape. UK bank stocks, for instance, experienced notable gains following reports that Chancellor Rachel Reeves might exempt them from certain punitive budget tax measures. The FTSE 350 Banks Index rose by around 1.3%, outperforming other major indices, as shares in leading banks like NatWest and Barclays increased between 1% and 2.7%. Government sources have indicated that British banks are already taxation-heavy compared to global peers, which may explain the tentative relief relief seen in bank shares following these reports. However, the broader market reaction to the budget announcement was mixed. The FTSE 100 index closed slightly lower, down 0.7%, while the FTSE 250 saw a modest gain of 0.4%, reflecting differing impacts of the tax plan on various market segments.</w:t>
      </w:r>
      <w:r/>
    </w:p>
    <w:p>
      <w:r/>
      <w:r>
        <w:t>The new tax measures, officially detailed in the October 2024 UK budget, represent the largest tax rise since 1993, targeting a broad spectrum of areas including capital gains, inheritance tax relief for specific market shares, and National Insurance contributions. The package, described by officials as a "difficult choice," aims to bolster public investment in healthcare, education, sustainability, and workers’ rights while managing fiscal responsibility. Notably, inheritance tax relief was increased by 50% for shares on the Alternative Investment Market, a move designed to stimulate investment in smaller, innovative companies.</w:t>
      </w:r>
      <w:r/>
    </w:p>
    <w:p>
      <w:r/>
      <w:r>
        <w:t>Emerging commentary from market experts and financial advisers underscores the delicate balance these tax changes strike. Peel Hunt, for example, has commented on the transformational potential of removing stamp duty on London equities, which could add between £140 billion to £280 billion in value to equity holdings, though such measures are accompanied by expected rises in capital gains tax revenues exceeding £5 billion annually. This underlines the complex interplay between tax relief incentives and revenue-boosting changes that influence investor behaviour.</w:t>
      </w:r>
      <w:r/>
    </w:p>
    <w:p>
      <w:r/>
      <w:r>
        <w:t>There is also broader concern about how transaction taxes impact market functionality. The Tax Foundation's analyses warn that implementing financial transactions taxes can reduce trading volumes and potentially impair market liquidity and efficiency. While the current UK environment reflects a surge in trading activity before tax hikes are enforced, the longer-term effect of increased transaction costs could dampen market dynamism.</w:t>
      </w:r>
      <w:r/>
    </w:p>
    <w:p>
      <w:r/>
      <w:r>
        <w:t>Looking forward, the UK market stands at a crossroad defined by legislative change and investor adaptation. The surge in volume underscores the pivotal role fiscal policy plays in shaping market behaviour, underscoring the need for investors to remain vigilant and agile. As the full effects of the budget unfold over the coming years, the investment landscape will continue to evolve, balancing growth opportunities with the realities of heightened taxation.</w:t>
      </w:r>
      <w:r/>
    </w:p>
    <w:p>
      <w:pPr>
        <w:pStyle w:val="Heading3"/>
      </w:pPr>
      <w:r>
        <w:t>📌 Reference Map:</w:t>
      </w:r>
      <w:r/>
      <w:r/>
    </w:p>
    <w:p>
      <w:pPr>
        <w:pStyle w:val="ListBullet"/>
        <w:spacing w:line="240" w:lineRule="auto"/>
        <w:ind w:left="720"/>
      </w:pPr>
      <w:r/>
      <w:hyperlink r:id="rId9">
        <w:r>
          <w:rPr>
            <w:color w:val="0000EE"/>
            <w:u w:val="single"/>
          </w:rPr>
          <w:t>[1]</w:t>
        </w:r>
      </w:hyperlink>
      <w:r>
        <w:t xml:space="preserve"> (Meyka) - Paragraphs 1, 2, 3, 5, 7 </w:t>
      </w:r>
      <w:r/>
    </w:p>
    <w:p>
      <w:pPr>
        <w:pStyle w:val="ListBullet"/>
        <w:spacing w:line="240" w:lineRule="auto"/>
        <w:ind w:left="720"/>
      </w:pPr>
      <w:r/>
      <w:hyperlink r:id="rId10">
        <w:r>
          <w:rPr>
            <w:color w:val="0000EE"/>
            <w:u w:val="single"/>
          </w:rPr>
          <w:t>[4]</w:t>
        </w:r>
      </w:hyperlink>
      <w:r>
        <w:t xml:space="preserve"> (UK Government) - Paragraph 2, 5 </w:t>
      </w:r>
      <w:r/>
    </w:p>
    <w:p>
      <w:pPr>
        <w:pStyle w:val="ListBullet"/>
        <w:spacing w:line="240" w:lineRule="auto"/>
        <w:ind w:left="720"/>
      </w:pPr>
      <w:r/>
      <w:hyperlink r:id="rId11">
        <w:r>
          <w:rPr>
            <w:color w:val="0000EE"/>
            <w:u w:val="single"/>
          </w:rPr>
          <w:t>[2]</w:t>
        </w:r>
      </w:hyperlink>
      <w:r>
        <w:t xml:space="preserve"> (Reuters) - Paragraph 4 </w:t>
      </w:r>
      <w:r/>
    </w:p>
    <w:p>
      <w:pPr>
        <w:pStyle w:val="ListBullet"/>
        <w:spacing w:line="240" w:lineRule="auto"/>
        <w:ind w:left="720"/>
      </w:pPr>
      <w:r/>
      <w:hyperlink r:id="rId12">
        <w:r>
          <w:rPr>
            <w:color w:val="0000EE"/>
            <w:u w:val="single"/>
          </w:rPr>
          <w:t>[3]</w:t>
        </w:r>
      </w:hyperlink>
      <w:r>
        <w:t xml:space="preserve"> (AJ Bell) - Paragraph 4, 5 </w:t>
      </w:r>
      <w:r/>
    </w:p>
    <w:p>
      <w:pPr>
        <w:pStyle w:val="ListBullet"/>
        <w:spacing w:line="240" w:lineRule="auto"/>
        <w:ind w:left="720"/>
      </w:pPr>
      <w:r/>
      <w:hyperlink r:id="rId13">
        <w:r>
          <w:rPr>
            <w:color w:val="0000EE"/>
            <w:u w:val="single"/>
          </w:rPr>
          <w:t>[5]</w:t>
        </w:r>
      </w:hyperlink>
      <w:r>
        <w:t xml:space="preserve"> (Peel Hunt) - Paragraph 6 </w:t>
      </w:r>
      <w:r/>
    </w:p>
    <w:p>
      <w:pPr>
        <w:pStyle w:val="ListBullet"/>
        <w:spacing w:line="240" w:lineRule="auto"/>
        <w:ind w:left="720"/>
      </w:pPr>
      <w:r/>
      <w:hyperlink r:id="rId14">
        <w:r>
          <w:rPr>
            <w:color w:val="0000EE"/>
            <w:u w:val="single"/>
          </w:rPr>
          <w:t>[6]</w:t>
        </w:r>
      </w:hyperlink>
      <w:r>
        <w:t xml:space="preserve"> (Tax Foundation) - Paragraph 7 </w:t>
      </w:r>
      <w:r/>
    </w:p>
    <w:p>
      <w:pPr>
        <w:pStyle w:val="ListBullet"/>
        <w:spacing w:line="240" w:lineRule="auto"/>
        <w:ind w:left="720"/>
      </w:pPr>
      <w:r/>
      <w:hyperlink r:id="rId15">
        <w:r>
          <w:rPr>
            <w:color w:val="0000EE"/>
            <w:u w:val="single"/>
          </w:rPr>
          <w:t>[7]</w:t>
        </w:r>
      </w:hyperlink>
      <w:r>
        <w:t xml:space="preserve"> (Wikipedia)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https://meyka.com/blog/uk-financial-markets-see-unprecedented-500-volume-increase-amidst-tax-changes-0911-2/</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https://www.reuters.com/business/finance/uk-bank-stocks-rise-after-reports-they-may-dodge-budget-tax-raid-2025-11-06/</w:t>
        </w:r>
      </w:hyperlink>
      <w:r>
        <w:t xml:space="preserve"> - UK bank stocks experienced an uptick following reports that Chancellor Rachel Reeves may exempt them from new punitive budget tax measures. The FTSE 350 Banks Index rose by 1.3%, outperforming the largely unchanged FTSE 100 and FTSE 250 indices. Shares in major banks such as NatWest, Lloyds, Close Brothers, Standard Chartered, and Barclays increased between 1% and 2.7%. Government officials believe British banks are already subject to high tax levels compared to international norms.</w:t>
      </w:r>
      <w:r/>
    </w:p>
    <w:p>
      <w:pPr>
        <w:pStyle w:val="ListNumber"/>
        <w:spacing w:line="240" w:lineRule="auto"/>
        <w:ind w:left="720"/>
      </w:pPr>
      <w:r/>
      <w:hyperlink r:id="rId12">
        <w:r>
          <w:rPr>
            <w:color w:val="0000EE"/>
            <w:u w:val="single"/>
          </w:rPr>
          <w:t>https://www.ajbell.co.uk/news/articles/london-market-close-shares-mixed-uk-delivers-%E2%80%98difficult%E2%80%99-tax-plan</w:t>
        </w:r>
      </w:hyperlink>
      <w:r>
        <w:t xml:space="preserve"> - Shares ended mixed in London as the UK government delivered its long-awaited tax plan, which, though a 'difficult choice,' was largely in line with investor expectations. The FTSE 100 index closed down 0.7%, while the FTSE 250 ended up 0.4%. Chancellor Rachel Reeves announced a 50% relief on inheritance tax for shares on the alternative investment market and increased capital gains tax rates, among other measures.</w:t>
      </w:r>
      <w:r/>
    </w:p>
    <w:p>
      <w:pPr>
        <w:pStyle w:val="ListNumber"/>
        <w:spacing w:line="240" w:lineRule="auto"/>
        <w:ind w:left="720"/>
      </w:pPr>
      <w:r/>
      <w:hyperlink r:id="rId10">
        <w:r>
          <w:rPr>
            <w:color w:val="0000EE"/>
            <w:u w:val="single"/>
          </w:rPr>
          <w:t>https://www.gov.uk/government/statistics/direct-effects-of-illustrative-tax-changes/direct-effects-of-illustrative-tax-changes-bulletin-january-2025</w:t>
        </w:r>
      </w:hyperlink>
      <w:r>
        <w:t xml:space="preserve"> - The UK government's bulletin outlines the direct effects of illustrative tax changes for the financial years 2026 to 2029. Proposed changes include increasing the Business Asset Disposal Relief rate by 1 to 5 percentage points and raising the lower and higher Capital Gains Tax rates by up to 10 percentage points. The bulletin provides estimates of the revenue impact for each proposed change.</w:t>
      </w:r>
      <w:r/>
    </w:p>
    <w:p>
      <w:pPr>
        <w:pStyle w:val="ListNumber"/>
        <w:spacing w:line="240" w:lineRule="auto"/>
        <w:ind w:left="720"/>
      </w:pPr>
      <w:r/>
      <w:hyperlink r:id="rId13">
        <w:r>
          <w:rPr>
            <w:color w:val="0000EE"/>
            <w:u w:val="single"/>
          </w:rPr>
          <w:t>https://www.peelhunt.com/news-insights/articles/code-red-4bn-at-risk/</w:t>
        </w:r>
      </w:hyperlink>
      <w:r>
        <w:t xml:space="preserve"> - Peel Hunt discusses the potential impact of removing stamp duty on the London equity market, suggesting it could add £140-280 billion to the value of equity holdings. The article also notes that capital gains tax receipts would increase materially, with a reasonable assumption that CGT receipts would rise by over £5 billion per annum, excluding holdings in ISAs.</w:t>
      </w:r>
      <w:r/>
    </w:p>
    <w:p>
      <w:pPr>
        <w:pStyle w:val="ListNumber"/>
        <w:spacing w:line="240" w:lineRule="auto"/>
        <w:ind w:left="720"/>
      </w:pPr>
      <w:r/>
      <w:hyperlink r:id="rId14">
        <w:r>
          <w:rPr>
            <w:color w:val="0000EE"/>
            <w:u w:val="single"/>
          </w:rPr>
          <w:t>https://www.taxfoundation.org/wp-content/uploads/2020/01/Tax-Foundation-Financial-Transactions-Tax-Impact.pdf</w:t>
        </w:r>
      </w:hyperlink>
      <w:r>
        <w:t xml:space="preserve"> - The Tax Foundation's report examines the impact of a financial transactions tax (FTT) on trading volumes. It notes that the introduction of an FTT can lead to a decline in trading volumes across various asset types, depending on the rates assigned to each. The report also discusses how such taxes can affect market liquidity and efficiency.</w:t>
      </w:r>
      <w:r/>
    </w:p>
    <w:p>
      <w:pPr>
        <w:pStyle w:val="ListNumber"/>
        <w:spacing w:line="240" w:lineRule="auto"/>
        <w:ind w:left="720"/>
      </w:pPr>
      <w:r/>
      <w:hyperlink r:id="rId15">
        <w:r>
          <w:rPr>
            <w:color w:val="0000EE"/>
            <w:u w:val="single"/>
          </w:rPr>
          <w:t>https://en.wikipedia.org/wiki/October_2024_United_Kingdom_budget</w:t>
        </w:r>
      </w:hyperlink>
      <w:r>
        <w:t xml:space="preserve"> - The October 2024 United Kingdom budget, delivered by Chancellor Rachel Reeves, focused on investment, healthcare, education, childcare, sustainable energy, transport, and workers' rights. The budget included tax rises worth £40 billion, the largest tax rise since 1993, with measures such as increasing employers' National Insurance to 15% on salaries above £5,000 from April 2025 and income tax thresholds rising in line with inflation after 2028.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yka.com/blog/uk-financial-markets-see-unprecedented-500-volume-increase-amidst-tax-changes-0911-2/" TargetMode="External"/><Relationship Id="rId10" Type="http://schemas.openxmlformats.org/officeDocument/2006/relationships/hyperlink" Target="https://www.gov.uk/government/statistics/direct-effects-of-illustrative-tax-changes/direct-effects-of-illustrative-tax-changes-bulletin-january-2025" TargetMode="External"/><Relationship Id="rId11" Type="http://schemas.openxmlformats.org/officeDocument/2006/relationships/hyperlink" Target="https://www.reuters.com/business/finance/uk-bank-stocks-rise-after-reports-they-may-dodge-budget-tax-raid-2025-11-06/" TargetMode="External"/><Relationship Id="rId12" Type="http://schemas.openxmlformats.org/officeDocument/2006/relationships/hyperlink" Target="https://www.ajbell.co.uk/news/articles/london-market-close-shares-mixed-uk-delivers-%E2%80%98difficult%E2%80%99-tax-plan" TargetMode="External"/><Relationship Id="rId13" Type="http://schemas.openxmlformats.org/officeDocument/2006/relationships/hyperlink" Target="https://www.peelhunt.com/news-insights/articles/code-red-4bn-at-risk/" TargetMode="External"/><Relationship Id="rId14" Type="http://schemas.openxmlformats.org/officeDocument/2006/relationships/hyperlink" Target="https://www.taxfoundation.org/wp-content/uploads/2020/01/Tax-Foundation-Financial-Transactions-Tax-Impact.pdf" TargetMode="External"/><Relationship Id="rId15" Type="http://schemas.openxmlformats.org/officeDocument/2006/relationships/hyperlink" Target="https://en.wikipedia.org/wiki/October_2024_United_Kingdom_budg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