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pivot towards purpose-built AI platforms and adaptive legal strategies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large enterprises approach 2026, several pivotal business and legislative trends are shaping the corporate landscape, focusing heavily on advanced AI infrastructure, geopolitical decentralization, navigating complex ESG regulations, and an evolving legal environment concerning technology and corporate governance.</w:t>
      </w:r>
      <w:r/>
    </w:p>
    <w:p>
      <w:r/>
      <w:r>
        <w:t>A significant shift is underway in how organisations deploy artificial intelligence. Rather than centring their AI strategies solely on generative AI models, companies are increasingly prioritising enabling technologies that facilitate scalable, sustainable, and manageable AI delivery. These foundational technologies streamline integration and ensure AI systems maintain performance and adaptability amid changing business demands. Consequently, chief information officers are moving away from generic cloud environments towards purpose-built platforms tailored to specific business objectives , for instance, optimising data sovereignty, boosting security, and enhancing workload performance. Such platforms integrate computing, networking, and storage resources, delivering low latency and high efficiency essential for regulated sectors such as healthcare, finance, energy, telecommunications, and life sciences. Hybrid infrastructure models combining cloud and on-premises systems are gaining favour, allowing firms to modernise while retaining control over legacy technology. This approach also addresses growing concerns around data residency, compute capacity, and national security, particularly in jurisdictions like the European Union with strict data localisation laws. These purpose-built platforms also underpin the rising adoption of agentic AI , autonomous AI agents expected to transform operations in the coming two to three years, according to a Deloitte LinkedIn survey. Emerging specialised hardware for AI inferencing is poised to improve performance while reducing cloud costs, positioning these tailored systems as a cornerstone of future AI-driven enterprises.</w:t>
      </w:r>
      <w:r/>
    </w:p>
    <w:p>
      <w:r/>
      <w:r>
        <w:t>The global business environment in 2026 is concurrently grappling with fragmentation driven by geopolitical tensions, trade disruptions, and regulatory divergences. Multinational corporations face operational challenges due to conflicts, tariffs, and inconsistent regulatory frameworks, prompting a move towards decentralised organisational models. This decentralisation allows for swifter regional decision-making and mitigates risks stemming from geopolitical fragmentation. However, companies strive to balance decentralisation with central oversight to preserve strategic coherence. Practically, this involves deploying distinct technology systems per region to satisfy local compliance demands and optimising operations for regional market conditions. Additionally, many multinationals establish separate legal entities for major geographic zones, enabling nimble market entry or exit based on opportunity and risk. Organizational restructuring to either centralise or segment business units is becoming a common response to evolving geopolitical realities, reflecting the need for agility without necessarily altering legal entity structures.</w:t>
      </w:r>
      <w:r/>
    </w:p>
    <w:p>
      <w:r/>
      <w:r>
        <w:t>Environmental, Social, and Governance (ESG) considerations continue to present a complex regulatory maze for global enterprises in 2026. Despite some regulatory rollbacks in the United States , notably the Securities and Exchange Commission pausing climate disclosure rules and reconsidering ESG-related shareholder proposal regulation , many jurisdictions persist in tightening transparency and sustainability requirements. The European Union’s Corporate Sustainability Reporting Directive (CSRD) exemplifies this trend, mandating comprehensive sustainability reporting for numerous entities, including certain U.S.-based companies. Meanwhile, individual U.S. states are advancing divergent ESG policies: California enforces climate disclosures, and states such as Colorado, Florida, Illinois, Maine, Maryland, New Hampshire, Oregon, and Utah adopt pro-ESG measures, while more than 40 anti-ESG bills have passed in 21 states, often targeting financial institutions’ ESG practices with regard to state resources. This fragmented landscape compels companies to maintain coherent global sustainability strategies while simultaneously navigating conflicting local laws. Investor, customer, and some regulatory pressures drive many businesses to embed sustainability into core strategies, influencing supply chain management, workforce planning, marketing, and risk mitigation. Recent research underscores the strong positive link between digital innovation , particularly adoption of generative AI technologies , and improved corporate ESG performance, suggesting technology investment as a critical lever in sustainability transformations across industries.</w:t>
      </w:r>
      <w:r/>
    </w:p>
    <w:p>
      <w:r/>
      <w:r>
        <w:t xml:space="preserve">On the legislative front, large enterprises must monitor evolving regulatory changes keenly. The Corporate Transparency Act (CTA) situation is unsettled, with the Treasury Department currently exempting U.S. entities from beneficial ownership information (BOI) reporting despite Congressional mandates, a scenario potentially subject to legal or legislative challenges in 2026. At the state level, New York has enacted BOI requirements for foreign LLCs effective 2026, hinting that states might expand these rules further if federal BOI obligations shift. Delaware’s General Corporation Law saw contentious amendments recently, expanding board powers and limiting shareholder inspection rights , changes influencing how multinational corporations governed under Delaware law operate. Other states are expected to amend corporation laws addressing issues such as ratification of defective acts, officer liability limitations, emergency bylaw adoption, electronic communications, and forum selection clauses. </w:t>
      </w:r>
      <w:r/>
    </w:p>
    <w:p>
      <w:r/>
      <w:r>
        <w:t>AI regulations continue to proliferate rapidly at both federal and state levels. In the U.S., over 600 AI-related bills were introduced in 2024, with nearly 100 enacted, reflecting concerns ranging from AI’s role in employment, housing, insurance, and pricing decisions to consumer disclosures about interacting with AI-generated content. States like California, Colorado (with its Artificial Intelligence Act effective February 2026), Connecticut, and Illinois have enacted diverse laws imposing obligations on AI developers and deployers, covering high-risk AI systems and governing AI video interviews. This growing mosaic of AI regulation requires organisations to stay vigilant as the technology integrates deeper into products, services, and decision-making.</w:t>
      </w:r>
      <w:r/>
    </w:p>
    <w:p>
      <w:r/>
      <w:r>
        <w:t>Similarly, digital assets and blockchain technologies are attracting heightened regulatory attention at the state level. Legislative updates include California’s Assembly Bill 2426 imposing new seller requirements for digital goods, Pennsylvania’s Digital Assets Authorization Act establishing a custody framework, and extensions or modifications to licensing provisions for digital asset companies. As uniform commercial codes adapt to embrace digital transactions , including cryptocurrency and NFTs , multinational companies engaged in digital asset dealings must monitor state law developments closely to remain compliant.</w:t>
      </w:r>
      <w:r/>
    </w:p>
    <w:p>
      <w:r/>
      <w:r>
        <w:t>Moreover, state antitrust notification laws are emerging, compelling companies planning major mergers or acquisitions to submit pre-merger filings to state authorities in addition to federal filings under the Hart-Scott-Rodino Act. States like Washington and Colorado have enacted their own pre-merger notification laws based on a uniform model, a trend expected to grow in 2026 and beyond.</w:t>
      </w:r>
      <w:r/>
    </w:p>
    <w:p>
      <w:r/>
      <w:r>
        <w:t>Looking ahead, enterprises must prioritise building scalable AI infrastructure aligned closely with business needs, adopting flexible organisational structures that accommodate geopolitical shifts, and proactively navigating a dynamic regulatory environment spanning corporate law reforms, ESG mandates, AI governance, digital asset oversight, and antitrust compliance. Addressing these multifaceted challenges will be crucial for mitigating risk, ensuring compliance, and sustaining competitive advantage in an increasingly complex global marketplace.</w:t>
      </w:r>
      <w:r/>
    </w:p>
    <w:p>
      <w:pPr>
        <w:pStyle w:val="Heading3"/>
      </w:pPr>
      <w:r>
        <w:t>📌 Reference Map:</w:t>
      </w:r>
      <w:r/>
      <w:r/>
    </w:p>
    <w:p>
      <w:pPr>
        <w:pStyle w:val="ListBullet"/>
        <w:spacing w:line="240" w:lineRule="auto"/>
        <w:ind w:left="720"/>
      </w:pPr>
      <w:r/>
      <w:hyperlink r:id="rId9">
        <w:r>
          <w:rPr>
            <w:color w:val="0000EE"/>
            <w:u w:val="single"/>
          </w:rPr>
          <w:t>[1]</w:t>
        </w:r>
      </w:hyperlink>
      <w:r>
        <w:t xml:space="preserve"> Wolters Kluwer - Paragraphs 1-10 </w:t>
      </w:r>
      <w:r/>
    </w:p>
    <w:p>
      <w:pPr>
        <w:pStyle w:val="ListBullet"/>
        <w:spacing w:line="240" w:lineRule="auto"/>
        <w:ind w:left="720"/>
      </w:pPr>
      <w:r/>
      <w:hyperlink r:id="rId9">
        <w:r>
          <w:rPr>
            <w:color w:val="0000EE"/>
            <w:u w:val="single"/>
          </w:rPr>
          <w:t>[2]</w:t>
        </w:r>
      </w:hyperlink>
      <w:r>
        <w:t xml:space="preserve"> Wolters Kluwer summary - Paragraph 1, 2 </w:t>
      </w:r>
      <w:r/>
    </w:p>
    <w:p>
      <w:pPr>
        <w:pStyle w:val="ListBullet"/>
        <w:spacing w:line="240" w:lineRule="auto"/>
        <w:ind w:left="720"/>
      </w:pPr>
      <w:r/>
      <w:hyperlink r:id="rId10">
        <w:r>
          <w:rPr>
            <w:color w:val="0000EE"/>
            <w:u w:val="single"/>
          </w:rPr>
          <w:t>[3]</w:t>
        </w:r>
      </w:hyperlink>
      <w:r>
        <w:t xml:space="preserve"> Arxiv research - Paragraph 4 </w:t>
      </w:r>
      <w:r/>
    </w:p>
    <w:p>
      <w:pPr>
        <w:pStyle w:val="ListBullet"/>
        <w:spacing w:line="240" w:lineRule="auto"/>
        <w:ind w:left="720"/>
      </w:pPr>
      <w:r/>
      <w:hyperlink r:id="rId11">
        <w:r>
          <w:rPr>
            <w:color w:val="0000EE"/>
            <w:u w:val="single"/>
          </w:rPr>
          <w:t>[4]</w:t>
        </w:r>
      </w:hyperlink>
      <w:r>
        <w:t xml:space="preserve"> International Center for Law &amp; Economics - Paragraph 6 </w:t>
      </w:r>
      <w:r/>
    </w:p>
    <w:p>
      <w:pPr>
        <w:pStyle w:val="ListBullet"/>
        <w:spacing w:line="240" w:lineRule="auto"/>
        <w:ind w:left="720"/>
      </w:pPr>
      <w:r/>
      <w:hyperlink r:id="rId12">
        <w:r>
          <w:rPr>
            <w:color w:val="0000EE"/>
            <w:u w:val="single"/>
          </w:rPr>
          <w:t>[5]</w:t>
        </w:r>
      </w:hyperlink>
      <w:r>
        <w:t xml:space="preserve"> KPMG article - Paragraph 6 </w:t>
      </w:r>
      <w:r/>
    </w:p>
    <w:p>
      <w:pPr>
        <w:pStyle w:val="ListBullet"/>
        <w:spacing w:line="240" w:lineRule="auto"/>
        <w:ind w:left="720"/>
      </w:pPr>
      <w:r/>
      <w:hyperlink r:id="rId13">
        <w:r>
          <w:rPr>
            <w:color w:val="0000EE"/>
            <w:u w:val="single"/>
          </w:rPr>
          <w:t>[6]</w:t>
        </w:r>
      </w:hyperlink>
      <w:r>
        <w:t xml:space="preserve"> DLA Piper - Paragraph 7 </w:t>
      </w:r>
      <w:r/>
    </w:p>
    <w:p>
      <w:pPr>
        <w:pStyle w:val="ListBullet"/>
        <w:spacing w:line="240" w:lineRule="auto"/>
        <w:ind w:left="720"/>
      </w:pPr>
      <w:r/>
      <w:hyperlink r:id="rId14">
        <w:r>
          <w:rPr>
            <w:color w:val="0000EE"/>
            <w:u w:val="single"/>
          </w:rPr>
          <w:t>[7]</w:t>
        </w:r>
      </w:hyperlink>
      <w:r>
        <w:t xml:space="preserve"> Spilman Thomas &amp; Battle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https://www.wolterskluwer.com/en/expert-insights/2026-business-and-legislative-trends-for-large-enterprises</w:t>
        </w:r>
      </w:hyperlink>
      <w:r>
        <w:t xml:space="preserve"> - Please view link - unable to able to access data</w:t>
      </w:r>
      <w:r/>
    </w:p>
    <w:p>
      <w:pPr>
        <w:pStyle w:val="ListNumber"/>
        <w:spacing w:line="240" w:lineRule="auto"/>
        <w:ind w:left="720"/>
      </w:pPr>
      <w:r/>
      <w:hyperlink r:id="rId9">
        <w:r>
          <w:rPr>
            <w:color w:val="0000EE"/>
            <w:u w:val="single"/>
          </w:rPr>
          <w:t>https://www.wolterskluwer.com/en/expert-insights/2026-business-and-legislative-trends-for-large-enterprises</w:t>
        </w:r>
      </w:hyperlink>
      <w:r>
        <w:t xml:space="preserve"> - This article from Wolters Kluwer discusses anticipated business and legislative trends for large enterprises in 2026. It highlights the shift towards strengthening AI infrastructure, with organizations focusing on enabling technologies that make AI delivery scalable and sustainable. The piece also addresses the impact of geopolitical factors on global businesses, emphasizing the need for decentralized models to navigate global fragmentation. Additionally, it covers the complexities of Environmental, Social, and Governance (ESG) regulations, noting the challenges multinational companies face due to varying and sometimes conflicting regulations across regions.</w:t>
      </w:r>
      <w:r/>
    </w:p>
    <w:p>
      <w:pPr>
        <w:pStyle w:val="ListNumber"/>
        <w:spacing w:line="240" w:lineRule="auto"/>
        <w:ind w:left="720"/>
      </w:pPr>
      <w:r/>
      <w:hyperlink r:id="rId10">
        <w:r>
          <w:rPr>
            <w:color w:val="0000EE"/>
            <w:u w:val="single"/>
          </w:rPr>
          <w:t>https://arxiv.org/abs/2504.01041</w:t>
        </w:r>
      </w:hyperlink>
      <w:r>
        <w:t xml:space="preserve"> - This study investigates the relationship between corporate digital innovation and Environmental, Social, and Governance (ESG) performance, focusing on the mediating role of Generative Artificial Intelligence (GAI) technology adoption. Using a comprehensive panel dataset spanning from 2015 to 2023, the research finds that digital innovation significantly enhances corporate ESG performance, with GAI technology adoption serving as a crucial mediating mechanism. The study also highlights variations across firm size, industry type, and ownership structure, providing insights into technology-driven sustainability transformations and offering practical implications for corporate strategy and policy development.</w:t>
      </w:r>
      <w:r/>
    </w:p>
    <w:p>
      <w:pPr>
        <w:pStyle w:val="ListNumber"/>
        <w:spacing w:line="240" w:lineRule="auto"/>
        <w:ind w:left="720"/>
      </w:pPr>
      <w:r/>
      <w:hyperlink r:id="rId11">
        <w:r>
          <w:rPr>
            <w:color w:val="0000EE"/>
            <w:u w:val="single"/>
          </w:rPr>
          <w:t>https://laweconcenter.org/updates/october-2025/</w:t>
        </w:r>
      </w:hyperlink>
      <w:r>
        <w:t xml:space="preserve"> - This update from the International Center for Law &amp; Economics discusses the rapid proliferation of state-level artificial intelligence (AI) regulations in the United States. In 2024, state lawmakers introduced over 600 AI-related bills, with nearly 100 enacted into law. The article highlights the diverse range of issues addressed by these regulations, including the use of AI in employment and housing decisions, deepfake generation, and consumer disclosures. It also notes that all 50 states have introduced legislation on the topic, indicating a significant and growing focus on AI regulation at the state level.</w:t>
      </w:r>
      <w:r/>
    </w:p>
    <w:p>
      <w:pPr>
        <w:pStyle w:val="ListNumber"/>
        <w:spacing w:line="240" w:lineRule="auto"/>
        <w:ind w:left="720"/>
      </w:pPr>
      <w:r/>
      <w:hyperlink r:id="rId12">
        <w:r>
          <w:rPr>
            <w:color w:val="0000EE"/>
            <w:u w:val="single"/>
          </w:rPr>
          <w:t>https://kpmg.com/us/en/articles/2024/the-empowerment-of-state-law-and-regulation.html</w:t>
        </w:r>
      </w:hyperlink>
      <w:r>
        <w:t xml:space="preserve"> - This article from KPMG discusses the increasing role of state law and regulation in the United States, particularly concerning artificial intelligence (AI). It highlights various state-level initiatives, such as California's Executive Order directing the study of AI development and risks, and Colorado's Artificial Intelligence Act, effective February 1, 2026, which imposes obligations on developers and deployers of high-risk AI systems. The piece also covers other state actions, including Connecticut's Public Act concerning AI and Illinois' AI Video Interview Act, illustrating the diverse and expanding landscape of state-level AI regulation.</w:t>
      </w:r>
      <w:r/>
    </w:p>
    <w:p>
      <w:pPr>
        <w:pStyle w:val="ListNumber"/>
        <w:spacing w:line="240" w:lineRule="auto"/>
        <w:ind w:left="720"/>
      </w:pPr>
      <w:r/>
      <w:hyperlink r:id="rId13">
        <w:r>
          <w:rPr>
            <w:color w:val="0000EE"/>
            <w:u w:val="single"/>
          </w:rPr>
          <w:t>https://www.jdsupra.com/legalnews/blockchain-and-digital-assets-news-and-8426401/</w:t>
        </w:r>
      </w:hyperlink>
      <w:r>
        <w:t xml:space="preserve"> - This article from DLA Piper discusses recent developments in blockchain and digital assets, focusing on state-level legislative actions. It highlights California's Assembly Bill 2426, which imposes new requirements for sellers of digital goods, and amendments to the Digital Financial Assets Law extending licensing deadlines for digital asset companies. The piece also covers Pennsylvania's 'Digital Assets Authorization Act,' establishing a legal framework for the use and custody of digital assets within the state. These developments reflect the evolving regulatory landscape for digital assets at the state level.</w:t>
      </w:r>
      <w:r/>
    </w:p>
    <w:p>
      <w:pPr>
        <w:pStyle w:val="ListNumber"/>
        <w:spacing w:line="240" w:lineRule="auto"/>
        <w:ind w:left="720"/>
      </w:pPr>
      <w:r/>
      <w:hyperlink r:id="rId14">
        <w:r>
          <w:rPr>
            <w:color w:val="0000EE"/>
            <w:u w:val="single"/>
          </w:rPr>
          <w:t>https://www.jdsupra.com/legalnews/technology-law-insights-v-6-issue-8-2025-2258221/</w:t>
        </w:r>
      </w:hyperlink>
      <w:r>
        <w:t xml:space="preserve"> - This article from Spilman Thomas &amp; Battle discusses recent developments in technology law, focusing on state-level initiatives related to artificial intelligence (AI). It highlights Pennsylvania's efforts to expand AI tools throughout state and local government agencies, following a successful pilot program that demonstrated significant efficiency gains. The piece also notes that key agencies, including the Department of Human Services and the Department of Environmental Protection, are showing interest in AI, indicating a growing adoption of AI technologies within state government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lterskluwer.com/en/expert-insights/2026-business-and-legislative-trends-for-large-enterprises" TargetMode="External"/><Relationship Id="rId10" Type="http://schemas.openxmlformats.org/officeDocument/2006/relationships/hyperlink" Target="https://arxiv.org/abs/2504.01041" TargetMode="External"/><Relationship Id="rId11" Type="http://schemas.openxmlformats.org/officeDocument/2006/relationships/hyperlink" Target="https://laweconcenter.org/updates/october-2025/" TargetMode="External"/><Relationship Id="rId12" Type="http://schemas.openxmlformats.org/officeDocument/2006/relationships/hyperlink" Target="https://kpmg.com/us/en/articles/2024/the-empowerment-of-state-law-and-regulation.html" TargetMode="External"/><Relationship Id="rId13" Type="http://schemas.openxmlformats.org/officeDocument/2006/relationships/hyperlink" Target="https://www.jdsupra.com/legalnews/blockchain-and-digital-assets-news-and-8426401/" TargetMode="External"/><Relationship Id="rId14" Type="http://schemas.openxmlformats.org/officeDocument/2006/relationships/hyperlink" Target="https://www.jdsupra.com/legalnews/technology-law-insights-v-6-issue-8-2025-225822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