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economy slowdown sparks market caution amid sectoral struggles and policy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economy faced a notable setback in the third quarter of 2025, with Gross Domestic Product (GDP) growth coming in at just 0.1% quarter-on-quarter, below market expectations and a slowdown from the 0.3% expansion reported in Q2. This announcement on November 13, 2025, precipitated a sharp reaction in financial markets, as the FTSE 100 index declined by 1.05% to close at 9,807.68, erasing earlier gains that had pushed the index to a then-record high of 9,930.09 earlier that month. The subdued growth trajectory and the market's response underscore the fragility now facing the UK economy, exacerbating concerns about consumer confidence, business investment, and broader economic momentum.</w:t>
      </w:r>
      <w:r/>
    </w:p>
    <w:p>
      <w:r/>
      <w:r>
        <w:t>The Office for National Statistics attributed the sluggish performance to a confluence of sectoral weaknesses, including a contraction in production and deceleration in key areas such as services and construction. A standout factor was a significant 28.6% month-on-month drop in car manufacturing output in September, heavily impacted by a major cyberattack on Jaguar Land Rover, an event that alone shaved 0.17 percentage points off September GDP and contributed to a 0.06 percentage point reduction for the quarter. Additionally, the pharmaceutical sector faced declines, and overall business investment decreased by 0.3%. These challenges, coupled with muted overseas demand and rising tax burdens, impeded economic growth in a challenging global backdrop.</w:t>
      </w:r>
      <w:r/>
    </w:p>
    <w:p>
      <w:r/>
      <w:r>
        <w:t>Market reactions extended beyond the immediate data point. Major UK corporations, including Aviva and 3i Group, reported disappointing earnings, while subdued oil prices weighed on energy stalwarts such as BP and Shell. The Pound Sterling weakened against both the Euro and US Dollar, pressured further by earlier employment data revealing a rise in unemployment to 5.0%, the highest since early 2021. Financial market indicators, such as bond yields, fell in anticipation of a potential Bank of England interest rate cut aimed at stimulating growth amid these headwinds. Such monetary policy considerations are now central to the UK's economic outlook, drawing intense scrutiny both domestically and internationally.</w:t>
      </w:r>
      <w:r/>
    </w:p>
    <w:p>
      <w:r/>
      <w:r>
        <w:t>The economic landscape for UK companies in this environment is distinctly mixed. Firms in defensive sectors such as consumer staples, healthcare, utilities, and telecommunications appear better insulated from the downturn. Multinationals like Unilever, British American Tobacco, GlaxoSmithKline, AstraZeneca, National Grid, and Vodafone benefit not only from stable domestic demand but also from their considerable international revenue streams and exposure to currency benefits stemming from a weaker Pound. This resilience is mirrored in companies like Rolls-Royce and others with diverse global operations. Conversely, companies heavily reliant on domestic consumer discretionary spending, including non-discount retailers and certain hospitality and home improvement providers like Kingfisher and Wickes, face significant challenges amid diminished consumer confidence and spending capacity. The construction sector is notably under pressure, as businesses delay capital projects in response to economic uncertainty.</w:t>
      </w:r>
      <w:r/>
    </w:p>
    <w:p>
      <w:r/>
      <w:r>
        <w:t>This downturn’s ripple effects extend beyond the UK, influencing investor sentiment across European markets already grappling with weak industrial production and subdued consumer data. Though the direct impact of UK GDP figures on the broader European financial indices may be marginal, the UK's economic weaknesses contribute to a cautious continental outlook. The situation intensifies pressure on policymakers to deliver timely and effective fiscal and monetary responses. Chancellor Rachel Reeves, preparing for the forthcoming budget, confronts the delicate task of stimulating growth while adhering to fiscal constraints, a balancing act complicated by warnings from economists about potential fiscal shortfalls and necessary tax adjustments.</w:t>
      </w:r>
      <w:r/>
    </w:p>
    <w:p>
      <w:r/>
      <w:r>
        <w:t>The prospects for the UK economy remain clouded by uncertainty, with economists and market analysts revising growth forecasts downward. For example, Morgan Stanley has adjusted its 2025 UK GDP growth forecast to 0.9%, reflecting concerns over labor market softness and broader economic deceleration. Meanwhile, financial institutions such as Citigroup have downgraded UK equities in favour of emerging markets, highlighting the UK's heavy weighting toward defensive sectors and cautious outlook rooted in weak consumer demand and limited growth catalysts. This shifting investment sentiment underscores the challenges facing the UK, despite its earlier strong economic performance relative to other G7 nations.</w:t>
      </w:r>
      <w:r/>
    </w:p>
    <w:p>
      <w:r/>
      <w:r>
        <w:t>Looking ahead, market participants will closely monitor the Bank of England’s forthcoming policy decisions, where recent data has elevated the probability of an interest rate cut as early as December. While this move may ease borrowing costs and support sectors like housing, potentially benefitting housebuilders such as Taylor Wimpey and Persimmon, the extent and timing of such relief remain uncertain. The upcoming UK budget will also be pivotal in shaping fiscal policy responses and investor confidence. Strategic adaptation by companies, emphasising innovation, efficiency, and international diversification, will be crucial to navigating this subdued growth environment.</w:t>
      </w:r>
      <w:r/>
    </w:p>
    <w:p>
      <w:r/>
      <w:r>
        <w:t>In summary, the UK’s economic slowdown and corresponding FTSE 100 retreat highlight a pivotal moment characterized by market recalibration, policy uncertainty, and sectoral disparities. While defensive and internationally focused companies may find footing, broad-based recovery relies on coordinated fiscal and monetary efforts amid a complex global economic landscape. Investors and policymakers alike face a challenging path as they seek to balance growth imperatives with inflation control, amid persistent geopolitical and economic headwinds.</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Content WRAL) - Paragraphs 1, 2, 3, 4, 5, 6, 7, 8, 9, 10 </w:t>
      </w:r>
      <w:r/>
    </w:p>
    <w:p>
      <w:pPr>
        <w:pStyle w:val="ListBullet"/>
        <w:spacing w:line="240" w:lineRule="auto"/>
        <w:ind w:left="720"/>
      </w:pPr>
      <w:r/>
      <w:hyperlink r:id="rId10">
        <w:r>
          <w:rPr>
            <w:color w:val="0000EE"/>
            <w:u w:val="single"/>
          </w:rPr>
          <w:t>[2]</w:t>
        </w:r>
      </w:hyperlink>
      <w:r>
        <w:t xml:space="preserve"> (Reuters) - Paragraphs 2, 3 </w:t>
      </w:r>
      <w:r/>
    </w:p>
    <w:p>
      <w:pPr>
        <w:pStyle w:val="ListBullet"/>
        <w:spacing w:line="240" w:lineRule="auto"/>
        <w:ind w:left="720"/>
      </w:pPr>
      <w:r/>
      <w:hyperlink r:id="rId11">
        <w:r>
          <w:rPr>
            <w:color w:val="0000EE"/>
            <w:u w:val="single"/>
          </w:rPr>
          <w:t>[3]</w:t>
        </w:r>
      </w:hyperlink>
      <w:r>
        <w:t xml:space="preserve"> (Reuters) - Paragraph 6 </w:t>
      </w:r>
      <w:r/>
    </w:p>
    <w:p>
      <w:pPr>
        <w:pStyle w:val="ListBullet"/>
        <w:spacing w:line="240" w:lineRule="auto"/>
        <w:ind w:left="720"/>
      </w:pPr>
      <w:r/>
      <w:hyperlink r:id="rId12">
        <w:r>
          <w:rPr>
            <w:color w:val="0000EE"/>
            <w:u w:val="single"/>
          </w:rPr>
          <w:t>[4]</w:t>
        </w:r>
      </w:hyperlink>
      <w:r>
        <w:t xml:space="preserve"> (Reuters) - Paragraph 7 </w:t>
      </w:r>
      <w:r/>
    </w:p>
    <w:p>
      <w:pPr>
        <w:pStyle w:val="ListBullet"/>
        <w:spacing w:line="240" w:lineRule="auto"/>
        <w:ind w:left="720"/>
      </w:pPr>
      <w:r/>
      <w:hyperlink r:id="rId13">
        <w:r>
          <w:rPr>
            <w:color w:val="0000EE"/>
            <w:u w:val="single"/>
          </w:rPr>
          <w:t>[5]</w:t>
        </w:r>
      </w:hyperlink>
      <w:r>
        <w:t xml:space="preserve"> (Reuters) -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https://markets.financialcontent.com/wral/article/marketminute-2025-11-13-ftse-100-stumbles-as-uk-gdp-growth-disappoints-signaling-deeper-economic-woes</w:t>
        </w:r>
      </w:hyperlink>
      <w:r>
        <w:t xml:space="preserve"> - Please view link - unable to able to access data</w:t>
      </w:r>
      <w:r/>
    </w:p>
    <w:p>
      <w:pPr>
        <w:pStyle w:val="ListNumber"/>
        <w:spacing w:line="240" w:lineRule="auto"/>
        <w:ind w:left="720"/>
      </w:pPr>
      <w:r/>
      <w:hyperlink r:id="rId10">
        <w:r>
          <w:rPr>
            <w:color w:val="0000EE"/>
            <w:u w:val="single"/>
          </w:rPr>
          <w:t>https://www.reuters.com/world/uk/uk-economy-grows-01-q3-2025-11-13/</w:t>
        </w:r>
      </w:hyperlink>
      <w:r>
        <w:t xml:space="preserve"> - In the third quarter of 2025, the UK economy grew by just 0.1%, falling short of expectations and down from 0.3% in Q2, according to the Office for National Statistics. A cyberattack on Jaguar Land Rover in September significantly impacted economic output, leading to a 28.6% drop in motor vehicle production—the largest since April 2020. This disruption alone reduced September's GDP by 0.17 percentage points and contributed to an overall 0.06 percentage point pullback in Q3 growth. The weak performance has heightened investor expectations that the Bank of England may cut interest rates soon, with odds rising to 82%. Finance Minister Rachel Reeves faces increased pressure, with economists warning of a likely fiscal shortfall and potential tax hikes. Despite sluggish Q3 data, Reeves noted the UK led G7 nations in economic growth during the first half of 2025. The Bank of England projects a recovery in Q4, anticipating 0.3% growth.</w:t>
      </w:r>
      <w:r/>
    </w:p>
    <w:p>
      <w:pPr>
        <w:pStyle w:val="ListNumber"/>
        <w:spacing w:line="240" w:lineRule="auto"/>
        <w:ind w:left="720"/>
      </w:pPr>
      <w:r/>
      <w:hyperlink r:id="rId11">
        <w:r>
          <w:rPr>
            <w:color w:val="0000EE"/>
            <w:u w:val="single"/>
          </w:rPr>
          <w:t>https://www.reuters.com/business/citigroup-turns-cold-uk-equities-doubles-down-em-optimism-2025-10-06/</w:t>
        </w:r>
      </w:hyperlink>
      <w:r>
        <w:t xml:space="preserve"> - Citigroup has downgraded UK equities from "overweight" to "underweight" while upgrading Emerging Markets (EM) to "overweight," signaling a strategic shift toward cyclical and AI-driven opportunities. The bank raised its mid-2026 MSCI EM index target to 1,465, suggesting about 7% upside, while the FTSE 100 target was increased modestly to 9,700. Citi cited the UK's heavy exposure (50%) to defensive sectors like consumer staples and utilities as less attractive amid growing preference for cyclical, growth-focused assets. Despite stable economic activity, UK growth is seen as unsustainable due to reliance on government spending and trade, while weak consumer demand and expected earnings contraction (1% in 2025) further dampen outlook. The lack of expected rate cuts by the Bank of England also contributes to headwinds. In contrast, EM markets stand to benefit from U.S. soft-landing prospects, anticipated Fed rate cuts, and strong AI-related exposure in countries like Taiwan, Korea, and China. EM equity inflows remain low, suggesting room for increased investor interest ahead.</w:t>
      </w:r>
      <w:r/>
    </w:p>
    <w:p>
      <w:pPr>
        <w:pStyle w:val="ListNumber"/>
        <w:spacing w:line="240" w:lineRule="auto"/>
        <w:ind w:left="720"/>
      </w:pPr>
      <w:r/>
      <w:hyperlink r:id="rId12">
        <w:r>
          <w:rPr>
            <w:color w:val="0000EE"/>
            <w:u w:val="single"/>
          </w:rPr>
          <w:t>https://www.reuters.com/world/uk/morgan-stanley-cuts-uks-2025-gdp-growth-forecast-09-2025-01-27/</w:t>
        </w:r>
      </w:hyperlink>
      <w:r>
        <w:t xml:space="preserve"> - Morgan Stanley revised its 2025 GDP growth forecast for the UK from 1.3% to 0.9%. The reduction is attributed to a slowdown in the British economy and indications of weakening in the labor market.</w:t>
      </w:r>
      <w:r/>
    </w:p>
    <w:p>
      <w:pPr>
        <w:pStyle w:val="ListNumber"/>
        <w:spacing w:line="240" w:lineRule="auto"/>
        <w:ind w:left="720"/>
      </w:pPr>
      <w:r/>
      <w:hyperlink r:id="rId13">
        <w:r>
          <w:rPr>
            <w:color w:val="0000EE"/>
            <w:u w:val="single"/>
          </w:rPr>
          <w:t>https://www.reuters.com/world/uk/uks-ftse-100-touches-new-peak-hsbc-shines-2025-10-28/</w:t>
        </w:r>
      </w:hyperlink>
      <w:r>
        <w:t xml:space="preserve"> - On October 28, 2025, the UK's FTSE 100 index reached a record high of 9,677.87 points, driven largely by a 3.1% surge in HSBC shares. The bank raised its income outlook and announced a strategic shift toward growth, including its acquisition of Hang Seng Bank despite facing $1.4 billion in legal charges. Meanwhile, the mid-cap FTSE 250 index fell by 0.4%. Other notable market movements included a 7.8% jump in Airtel Africa shares following strong half-year revenue and an interim dividend announcement, and a 3.5% rise in Spirax Group shares after UBS upgraded its stock rating. Global markets saw a general easing after recent gains, with investors eyeing upcoming Big Tech earnings and key central bank rate decisions. Domestically, UK retail prices fell in October, led by the sharpest food price drop in nearly five years, offering some relief to consumers and supporting government economic plans. Finance Minister Rachel Reeves plans to address cost-of-living concerns in the upcoming budget. Despite signs of economic improvement, uncertainty remains pending the Chancellor’s official announcements.</w:t>
      </w:r>
      <w:r/>
    </w:p>
    <w:p>
      <w:pPr>
        <w:pStyle w:val="ListNumber"/>
        <w:spacing w:line="240" w:lineRule="auto"/>
        <w:ind w:left="720"/>
      </w:pPr>
      <w:r/>
      <w:hyperlink r:id="rId15">
        <w:r>
          <w:rPr>
            <w:color w:val="0000EE"/>
            <w:u w:val="single"/>
          </w:rPr>
          <w:t>https://www.reuters.com/world/uk/ftse-100-slips-record-high-ahead-us-payrolls-data-2025-02-07/</w:t>
        </w:r>
      </w:hyperlink>
      <w:r>
        <w:t xml:space="preserve"> - On Friday, UK stocks declined, with the FTSE 100 dropping 0.2% from its record high as investors anticipated a key U.S. jobs report. The mid-cap FTSE 250 also fell by 0.3% and was on track for a slight weekly decline. The pound's recovery pressured the export-heavy blue-chip index. Despite these declines, shares of Legal &amp; General surged 5.4% after the company sold its U.S. protection business to Meiji Yasuda for $2.3 billion, including a 5% stake acquisition by the Japanese firm. Although FTSE 100 was set to end the week 0.4% higher and previously closed at a record high on Thursday, UK economic challenges remain. The Bank of England cut rates by 25 basis points but downgraded its 2025 growth outlook while projecting inflation to nearly double its 2% target. Analysts expect another rate cut in May with the year-end rate at 3.5%. Investors are now focused on U.S. employment data, amid uncertainties from President Trump's tariff plans. Homebuilder stocks led sectoral declines, whereas precious metal miners gained, benefiting from record high gold prices.</w:t>
      </w:r>
      <w:r/>
    </w:p>
    <w:p>
      <w:pPr>
        <w:pStyle w:val="ListNumber"/>
        <w:spacing w:line="240" w:lineRule="auto"/>
        <w:ind w:left="720"/>
      </w:pPr>
      <w:r/>
      <w:hyperlink r:id="rId15">
        <w:r>
          <w:rPr>
            <w:color w:val="0000EE"/>
            <w:u w:val="single"/>
          </w:rPr>
          <w:t>https://www.reuters.com/world/uk/ftse-100-slips-record-high-ahead-us-payrolls-data-2025-02-07/</w:t>
        </w:r>
      </w:hyperlink>
      <w:r>
        <w:t xml:space="preserve"> - On Friday, UK stocks declined, with the FTSE 100 dropping 0.2% from its record high as investors anticipated a key U.S. jobs report. The mid-cap FTSE 250 also fell by 0.3% and was on track for a slight weekly decline. The pound's recovery pressured the export-heavy blue-chip index. Despite these declines, shares of Legal &amp; General surged 5.4% after the company sold its U.S. protection business to Meiji Yasuda for $2.3 billion, including a 5% stake acquisition by the Japanese firm. Although FTSE 100 was set to end the week 0.4% higher and previously closed at a record high on Thursday, UK economic challenges remain. The Bank of England cut rates by 25 basis points but downgraded its 2025 growth outlook while projecting inflation to nearly double its 2% target. Analysts expect another rate cut in May with the year-end rate at 3.5%. Investors are now focused on U.S. employment data, amid uncertainties from President Trump's tariff plans. Homebuilder stocks led sectoral declines, whereas precious metal miners gained, benefiting from record high gold prices.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marketminute-2025-11-13-ftse-100-stumbles-as-uk-gdp-growth-disappoints-signaling-deeper-economic-woes" TargetMode="External"/><Relationship Id="rId10" Type="http://schemas.openxmlformats.org/officeDocument/2006/relationships/hyperlink" Target="https://www.reuters.com/world/uk/uk-economy-grows-01-q3-2025-11-13/" TargetMode="External"/><Relationship Id="rId11" Type="http://schemas.openxmlformats.org/officeDocument/2006/relationships/hyperlink" Target="https://www.reuters.com/business/citigroup-turns-cold-uk-equities-doubles-down-em-optimism-2025-10-06/" TargetMode="External"/><Relationship Id="rId12" Type="http://schemas.openxmlformats.org/officeDocument/2006/relationships/hyperlink" Target="https://www.reuters.com/world/uk/morgan-stanley-cuts-uks-2025-gdp-growth-forecast-09-2025-01-27/" TargetMode="External"/><Relationship Id="rId13" Type="http://schemas.openxmlformats.org/officeDocument/2006/relationships/hyperlink" Target="https://www.reuters.com/world/uk/uks-ftse-100-touches-new-peak-hsbc-shines-2025-10-28/" TargetMode="External"/><Relationship Id="rId14" Type="http://schemas.openxmlformats.org/officeDocument/2006/relationships/hyperlink" Target="https://www.noahwire.com" TargetMode="External"/><Relationship Id="rId15" Type="http://schemas.openxmlformats.org/officeDocument/2006/relationships/hyperlink" Target="https://www.reuters.com/world/uk/ftse-100-slips-record-high-ahead-us-payrolls-data-2025-02-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