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Dividend strategies emerge as alternative to uncertain UK State Pension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Faced with growing uncertainty over the future of the UK State Pension, many individuals are considering alternative strategies to secure their retirement income. Among them is Royston Wild, who has devised a plan centred on regular investment in dividend-paying shares, aiming to reduce reliance on government pensions and achieve financial independence by retirement. His approach addresses widespread concerns about the sustainability and generosity of the State Pension system, especially given the increasing State Pension age and the UK’s mounting public debt burden.</w:t>
      </w:r>
      <w:r/>
    </w:p>
    <w:p>
      <w:r/>
      <w:r>
        <w:t>Currently, the State Pension benefits from the ‘Triple Lock’ system, which guarantees annual increases based on the highest of average wage growth, consumer price inflation, or 2.5%. However, Wild and others question if this will persist decades from now as demographic changes exert pressure on public finances. With that in mind, Wild has set a target income of £45,000 per year, surpassing estimates that retirees presently need around £43,900 annually to maintain a comfortable lifestyle.</w:t>
      </w:r>
      <w:r/>
    </w:p>
    <w:p>
      <w:r/>
      <w:r>
        <w:t>To generate this income through dividends, Wild estimates he would need a portfolio worth approximately £643,000 at a 7% dividend yield. Although that sum appears significant, consistent monthly investments of around £500 could feasibly achieve it in slightly over 26 years, assuming an average annual return near 9%, which aligns with typical long-term stock market performance. His strategy relies heavily on the power of dividend income, which, while not guaranteed, can provide a consistent and growing cash flow with a diversified and well-managed portfolio.</w:t>
      </w:r>
      <w:r/>
    </w:p>
    <w:p>
      <w:r/>
      <w:r>
        <w:t>An example portfolio Wild outlines demonstrates this principle using a blend of dividend-paying stocks and funds across sectors and geographies. It includes companies and trusts such as Legal &amp; General (life insurance, 8.9% yield), Verizon Communications (telecoms, 6.7%), Greencoat Renewables (energy, 10%), and investment vehicles like Henderson High Income Trust (5.8%). This trust, in particular, plays a pivotal role by offering wide diversification across 66 dividend stocks and a strong UK equity focus, benefiting from the country’s robust dividend culture.</w:t>
      </w:r>
      <w:r/>
    </w:p>
    <w:p>
      <w:r/>
      <w:r>
        <w:t>Henderson High Income Trust is a UK-based investment trust with a long-standing commitment to dividend growth, having increased payouts for 12 consecutive years up to 2024. Its current dividend yield is around 5.8-6%, supported by a diversified portfolio spanning various sectors and capitalisations. The trust’s strategy includes a blend of equity and corporate bonds, which contributes to a more predictable and sustainable income stream. It also leverages financial structuring tools such as borrowing to enhance returns and the ability to smooth dividends by retaining earnings when necessary. Recent financial data show the trust maintains strong dividend coverage with a payout ratio around 42%, reflecting its cautious and steady approach to income distribution.</w:t>
      </w:r>
      <w:r/>
    </w:p>
    <w:p>
      <w:r/>
      <w:r>
        <w:t>The broader UK dividend landscape has shown resilience despite some recent challenges. While dividend payments in the third quarter of 2025 declined by 1.4% year-on-year, primarily due to a reduction in special dividends, the majority of UK companies (80%) either maintained or increased their payouts. Sectors remain robust overall, supporting the enduring appeal of dividend stocks for income-focused investors.</w:t>
      </w:r>
      <w:r/>
    </w:p>
    <w:p>
      <w:r/>
      <w:r>
        <w:t>Meanwhile, the political and regulatory environment presents additional considerations. Over 100 UK executives backed by the London Stock Exchange Group recently proposed that defined contribution pension schemes allocate at least 25% of assets to UK investments to help stimulate domestic markets. However, the pensions industry has opposed this, warning that such mandates could jeopardise return performance and infringe on saver interests by diminishing flexibility.</w:t>
      </w:r>
      <w:r/>
    </w:p>
    <w:p>
      <w:r/>
      <w:r>
        <w:t>In this context, individual investors like Wild are taking proactive personal measures to build diversified dividend portfolios, seeking to mitigate risks associated with State Pension uncertainties and political shifts. By targeting a carefully selected mix of domestic and international dividend payers, including established trusts such as Henderson High Income, investors aim to create a reliable income stream that can supplement or potentially replace future State Pension receipts.</w:t>
      </w:r>
      <w:r/>
    </w:p>
    <w:p>
      <w:r/>
      <w:r>
        <w:t>While dividend investing carries inherent risks, including variability in payouts and market fluctuations, a disciplined, diversified approach over time offers a pragmatic path towards financial independence in retirement, particularly against a backdrop of evolving pension policies and economic challenges.</w:t>
      </w:r>
      <w:r/>
    </w:p>
    <w:p>
      <w:pPr>
        <w:pStyle w:val="Heading3"/>
      </w:pPr>
      <w:r>
        <w:t>📌 Reference Map:</w:t>
      </w:r>
      <w:r/>
      <w:r/>
    </w:p>
    <w:p>
      <w:pPr>
        <w:pStyle w:val="ListBullet"/>
        <w:spacing w:line="240" w:lineRule="auto"/>
        <w:ind w:left="720"/>
      </w:pPr>
      <w:r/>
      <w:hyperlink r:id="rId9">
        <w:r>
          <w:rPr>
            <w:color w:val="0000EE"/>
            <w:u w:val="single"/>
          </w:rPr>
          <w:t>[1]</w:t>
        </w:r>
      </w:hyperlink>
      <w:r>
        <w:t xml:space="preserve"> (The Motley Fool UK) - Paragraphs 1, 2, 3, 4, 5, 6, 7</w:t>
      </w:r>
      <w:r/>
    </w:p>
    <w:p>
      <w:pPr>
        <w:pStyle w:val="ListBullet"/>
        <w:spacing w:line="240" w:lineRule="auto"/>
        <w:ind w:left="720"/>
      </w:pPr>
      <w:r/>
      <w:hyperlink r:id="rId10">
        <w:r>
          <w:rPr>
            <w:color w:val="0000EE"/>
            <w:u w:val="single"/>
          </w:rPr>
          <w:t>[3]</w:t>
        </w:r>
      </w:hyperlink>
      <w:r>
        <w:t xml:space="preserve"> (TipRanks) - Paragraphs 6, 7</w:t>
      </w:r>
      <w:r/>
    </w:p>
    <w:p>
      <w:pPr>
        <w:pStyle w:val="ListBullet"/>
        <w:spacing w:line="240" w:lineRule="auto"/>
        <w:ind w:left="720"/>
      </w:pPr>
      <w:r/>
      <w:hyperlink r:id="rId11">
        <w:r>
          <w:rPr>
            <w:color w:val="0000EE"/>
            <w:u w:val="single"/>
          </w:rPr>
          <w:t>[4]</w:t>
        </w:r>
      </w:hyperlink>
      <w:r>
        <w:t xml:space="preserve"> (Hargreaves Lansdown) - Paragraph 7</w:t>
      </w:r>
      <w:r/>
    </w:p>
    <w:p>
      <w:pPr>
        <w:pStyle w:val="ListBullet"/>
        <w:spacing w:line="240" w:lineRule="auto"/>
        <w:ind w:left="720"/>
      </w:pPr>
      <w:r/>
      <w:hyperlink r:id="rId12">
        <w:r>
          <w:rPr>
            <w:color w:val="0000EE"/>
            <w:u w:val="single"/>
          </w:rPr>
          <w:t>[5]</w:t>
        </w:r>
      </w:hyperlink>
      <w:r>
        <w:t xml:space="preserve"> (TipRanks Dividends) - Paragraph 7</w:t>
      </w:r>
      <w:r/>
    </w:p>
    <w:p>
      <w:pPr>
        <w:pStyle w:val="ListBullet"/>
        <w:spacing w:line="240" w:lineRule="auto"/>
        <w:ind w:left="720"/>
      </w:pPr>
      <w:r/>
      <w:hyperlink r:id="rId13">
        <w:r>
          <w:rPr>
            <w:color w:val="0000EE"/>
            <w:u w:val="single"/>
          </w:rPr>
          <w:t>[6]</w:t>
        </w:r>
      </w:hyperlink>
      <w:r>
        <w:t xml:space="preserve"> (MoneyWeek) - Paragraph 7</w:t>
      </w:r>
      <w:r/>
    </w:p>
    <w:p>
      <w:pPr>
        <w:pStyle w:val="ListBullet"/>
        <w:spacing w:line="240" w:lineRule="auto"/>
        <w:ind w:left="720"/>
      </w:pPr>
      <w:r/>
      <w:hyperlink r:id="rId14">
        <w:r>
          <w:rPr>
            <w:color w:val="0000EE"/>
            <w:u w:val="single"/>
          </w:rPr>
          <w:t>[7]</w:t>
        </w:r>
      </w:hyperlink>
      <w:r>
        <w:t xml:space="preserve"> (MoneyWeek) - Paragraph 8</w:t>
      </w:r>
      <w:r/>
    </w:p>
    <w:p>
      <w:pPr>
        <w:pStyle w:val="ListBullet"/>
        <w:spacing w:line="240" w:lineRule="auto"/>
        <w:ind w:left="720"/>
      </w:pPr>
      <w:r/>
      <w:hyperlink r:id="rId15">
        <w:r>
          <w:rPr>
            <w:color w:val="0000EE"/>
            <w:u w:val="single"/>
          </w:rPr>
          <w:t>[2]</w:t>
        </w:r>
      </w:hyperlink>
      <w:r>
        <w:t xml:space="preserve"> (Reuters)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https://www.fool.co.uk/2025/11/14/state-pension-worries-7-income-stocks-to-consider-for-retirement/</w:t>
        </w:r>
      </w:hyperlink>
      <w:r>
        <w:t xml:space="preserve"> - Please view link - unable to able to access data</w:t>
      </w:r>
      <w:r/>
    </w:p>
    <w:p>
      <w:pPr>
        <w:pStyle w:val="ListNumber"/>
        <w:spacing w:line="240" w:lineRule="auto"/>
        <w:ind w:left="720"/>
      </w:pPr>
      <w:r/>
      <w:hyperlink r:id="rId15">
        <w:r>
          <w:rPr>
            <w:color w:val="0000EE"/>
            <w:u w:val="single"/>
          </w:rPr>
          <w:t>https://www.reuters.com/business/finance/pension-funds-reject-uk-plc-proposal-get-savers-into-local-stocks-2025-11-13/</w:t>
        </w:r>
      </w:hyperlink>
      <w:r>
        <w:t xml:space="preserve"> - In November 2025, over 100 UK business executives, supported by the London Stock Exchange Group (LSEG), proposed that defined contribution pension schemes allocate at least 25% of their assets to UK investments. This initiative aims to reverse the decline in domestic stock market support and stimulate economic growth. However, the pensions industry has opposed this proposal, arguing that such mandates could pose risks to returns and undermine the interests of savers. They emphasise that investment decisions should prioritise risk-adjusted returns and reflect investor choice without governmental compulsion.</w:t>
      </w:r>
      <w:r/>
    </w:p>
    <w:p>
      <w:pPr>
        <w:pStyle w:val="ListNumber"/>
        <w:spacing w:line="240" w:lineRule="auto"/>
        <w:ind w:left="720"/>
      </w:pPr>
      <w:r/>
      <w:hyperlink r:id="rId10">
        <w:r>
          <w:rPr>
            <w:color w:val="0000EE"/>
            <w:u w:val="single"/>
          </w:rPr>
          <w:t>https://www.tipranks.com/stocks/gb%3Ahhi/stock-analysis</w:t>
        </w:r>
      </w:hyperlink>
      <w:r>
        <w:t xml:space="preserve"> - Henderson High Income Trust PLC (LON:HHI) is a UK-based investment trust that focuses on dividend-paying value stocks across various market capitalisations. As of October 29, 2025, the trust's share price was £1.8850, with a dividend yield of 5.98%. The trust has a history of increasing dividends, marking the 12th consecutive year of dividend growth in 2024. The trust's portfolio is diversified across different sectors, and it benchmarks its performance against a composite of the FTSE All-Share Index and the Merrill Lynch Sterling Non-Gilts Index.</w:t>
      </w:r>
      <w:r/>
    </w:p>
    <w:p>
      <w:pPr>
        <w:pStyle w:val="ListNumber"/>
        <w:spacing w:line="240" w:lineRule="auto"/>
        <w:ind w:left="720"/>
      </w:pPr>
      <w:r/>
      <w:hyperlink r:id="rId11">
        <w:r>
          <w:rPr>
            <w:color w:val="0000EE"/>
            <w:u w:val="single"/>
          </w:rPr>
          <w:t>https://www.hl.co.uk/shares/shares-search-results/h/henderson-high-inc-trust-plc-ord-5p-share</w:t>
        </w:r>
      </w:hyperlink>
      <w:r>
        <w:t xml:space="preserve"> - Henderson High Income Trust PLC (LSE:HHI) is a closed-ended investment company domiciled in the United Kingdom. As of October 27, 2025, the trust's share price was £1.8681, with a dividend yield of 5.73%. The trust's benchmark is the ICE BofA Sterling Non-Gilt Total Return Index GBP. The trust has an ongoing charge of 0.74% and a net gearing of 98.72%. Recent dividends include a third interim dividend of 2.775p per share, ex-dividend on September 11, 2025, and a second interim dividend of 2.675p per share, ex-dividend on June 12, 2025.</w:t>
      </w:r>
      <w:r/>
    </w:p>
    <w:p>
      <w:pPr>
        <w:pStyle w:val="ListNumber"/>
        <w:spacing w:line="240" w:lineRule="auto"/>
        <w:ind w:left="720"/>
      </w:pPr>
      <w:r/>
      <w:hyperlink r:id="rId12">
        <w:r>
          <w:rPr>
            <w:color w:val="0000EE"/>
            <w:u w:val="single"/>
          </w:rPr>
          <w:t>https://www.tipranks.com/stocks/gb%3Ahhi/dividends</w:t>
        </w:r>
      </w:hyperlink>
      <w:r>
        <w:t xml:space="preserve"> - Henderson High Income Trust PLC (LON:HHI) has a history of increasing dividends, marking the 12th consecutive year of dividend growth in 2024. The trust's dividend yield is 5.82%, with a payout ratio of 42.35%. The most recent dividend was 2.775p per share, paid quarterly. The trust's earnings per share for the past year was 0.21p, and the annual dividend per share is 10.80p. The dividend growth has been over 17 years since 2009, indicating a consistent commitment to returning value to shareholders.</w:t>
      </w:r>
      <w:r/>
    </w:p>
    <w:p>
      <w:pPr>
        <w:pStyle w:val="ListNumber"/>
        <w:spacing w:line="240" w:lineRule="auto"/>
        <w:ind w:left="720"/>
      </w:pPr>
      <w:r/>
      <w:hyperlink r:id="rId13">
        <w:r>
          <w:rPr>
            <w:color w:val="0000EE"/>
            <w:u w:val="single"/>
          </w:rPr>
          <w:t>https://moneyweek.com/investments/funds/investment-trusts/605022/highest-yielding-investment-trusts</w:t>
        </w:r>
      </w:hyperlink>
      <w:r>
        <w:t xml:space="preserve"> - As of August 18, 2025, Henderson High Income Trust PLC (LON:HHI) is among the highest-yielding investment trusts, with a dividend yield of 5.9%. The trust focuses on UK equities and has a history of increasing dividends, marking the 12th consecutive year of dividend growth in 2024. The trust's flexibility allows it to retain earnings to smooth dividends over time, borrow to enhance returns, and pay part of capital returns as dividends, contributing to its consistently rising dividend yields.</w:t>
      </w:r>
      <w:r/>
    </w:p>
    <w:p>
      <w:pPr>
        <w:pStyle w:val="ListNumber"/>
        <w:spacing w:line="240" w:lineRule="auto"/>
        <w:ind w:left="720"/>
      </w:pPr>
      <w:r/>
      <w:hyperlink r:id="rId14">
        <w:r>
          <w:rPr>
            <w:color w:val="0000EE"/>
            <w:u w:val="single"/>
          </w:rPr>
          <w:t>https://moneyweek.com/investments/dividend-stocks/uk-dividends-payments-drop-computershare</w:t>
        </w:r>
      </w:hyperlink>
      <w:r>
        <w:t xml:space="preserve"> - In the third quarter of 2025, UK dividend payments fell by 1.4% year-on-year, totalling £24.6 billion—£1 billion less than Q3 2024. This decline was largely due to a sharp decrease in special dividends, with major cuts from five top companies reducing growth by 5.7 percentage points. Despite this, 80% of UK companies maintained or raised payouts, and 17 of 21 sectors showed resilience. Companies like Rolls-Royce and NatWest contributed positively to dividend growth, highlighting the ongoing appeal of dividend stocks for investors seeking reliable income streams.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uk/2025/11/14/state-pension-worries-7-income-stocks-to-consider-for-retirement/" TargetMode="External"/><Relationship Id="rId10" Type="http://schemas.openxmlformats.org/officeDocument/2006/relationships/hyperlink" Target="https://www.tipranks.com/stocks/gb%3Ahhi/stock-analysis" TargetMode="External"/><Relationship Id="rId11" Type="http://schemas.openxmlformats.org/officeDocument/2006/relationships/hyperlink" Target="https://www.hl.co.uk/shares/shares-search-results/h/henderson-high-inc-trust-plc-ord-5p-share" TargetMode="External"/><Relationship Id="rId12" Type="http://schemas.openxmlformats.org/officeDocument/2006/relationships/hyperlink" Target="https://www.tipranks.com/stocks/gb%3Ahhi/dividends" TargetMode="External"/><Relationship Id="rId13" Type="http://schemas.openxmlformats.org/officeDocument/2006/relationships/hyperlink" Target="https://moneyweek.com/investments/funds/investment-trusts/605022/highest-yielding-investment-trusts" TargetMode="External"/><Relationship Id="rId14" Type="http://schemas.openxmlformats.org/officeDocument/2006/relationships/hyperlink" Target="https://moneyweek.com/investments/dividend-stocks/uk-dividends-payments-drop-computershare" TargetMode="External"/><Relationship Id="rId15" Type="http://schemas.openxmlformats.org/officeDocument/2006/relationships/hyperlink" Target="https://www.reuters.com/business/finance/pension-funds-reject-uk-plc-proposal-get-savers-into-local-stocks-2025-11-1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