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Pepperstone battles daily surge of brand impersonation amid heightened regulatory crackdown on CFD scams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Pepperstone, a prominent brokerage, is facing a relentless battle against an increasing number of scam websites impersonating its brand, creating a persistent challenge that unfolds almost daily. The company’s Group CEO, Tamas Szabo, recently highlighted the urgency of the issue, describing how new clones of Pepperstone emerge every morning, complete with the company's name and appearance but designed to trap unsuspecting consumers. These counterfeit sites extend beyond mere online presence, encompassing fake social media accounts as well, adding layers to the scam’s complexity. Szabo directed criticism at domain registrars, suggesting some may inadvertently enable these deceptive operations by approving suspicious registrations without adequate scrutiny.</w:t>
      </w:r>
      <w:r/>
    </w:p>
    <w:p>
      <w:r/>
      <w:r>
        <w:t>This crackdown on fraudulent mimicry comes amid heightened regulatory scrutiny in the financial trading sector, particularly concerning Contracts for Difference (CFDs). The UK’s Financial Conduct Authority (FCA) has issued stern warnings to CFD providers following a review that revealed some firms have not met the higher consumer protection standards mandated by the Consumer Duty regulations implemented in July 2023. Mark Francis, FCA director of sell-side markets, emphasised that the Consumer Duty “raises the bar for consumer protection” and that CFD firms must align fully with these standards. The FCA identified ongoing issues such as poor handling of consumer complaints, opaque charging structures, particularly unexplained overnight fees, and a lack of transparency that ultimately fails to benefit consumers.</w:t>
      </w:r>
      <w:r/>
    </w:p>
    <w:p>
      <w:r/>
      <w:r>
        <w:t>The FCA’s concerns extend to firms employing aggressive tactics to pressure retail clients into claiming professional client status, a categorisation that strips away critical protections such as leverage limits and client loss safeguards. This shift potentially places nearly 400,000 investors annually at risk of losing more than their original stake. The regulator also highlighted the harmful influence of “finfluencers,” social media personalities who promote unregulated offshore firms, leading to substantial financial losses among consumers. In response, the FCA has taken direct action against numerous problematic firms marketing CFDs in the UK, mitigating an estimated £100 million in potential consumer harm each year. Techniques such as fake celebrity endorsements and inducements to upgrade client status have been particular causes for regulatory intervention.</w:t>
      </w:r>
      <w:r/>
    </w:p>
    <w:p>
      <w:r/>
      <w:r>
        <w:t>While Pepperstone’s CEO highlights the operational challenges posed by online impersonation, customer voices from review platforms reveal a more troubling picture of the brokerage’s service quality. Reports include sudden account closures, difficulties in withdrawing funds, and allegations of withheld payments, with some users describing Pepperstone as a scam. These accounts, coming from diverse geographies including South Africa and Cameroon, underscore significant customer dissatisfaction and call into question the firm’s business practices and responsiveness.</w:t>
      </w:r>
      <w:r/>
    </w:p>
    <w:p>
      <w:r/>
      <w:r>
        <w:t>Beyond the UK, brokers operating in Asia face the additional complexity of fragmented and diverse markets. ATFX, for example, underscores the importance of localisation, not just translating websites via AI but developing a profound understanding of distinct market behaviors across countries such as Vietnam, Thailand, and the Philippines. This approach reflects a broader trend among global brokers, including Exness, which recently expanded its presence in Africa by opening a regional hub in Cape Town to serve the Sub-Saharan region, illustrating the ongoing drive to build localised and regulatory-compliant operations in varied regions.</w:t>
      </w:r>
      <w:r/>
    </w:p>
    <w:p>
      <w:r/>
      <w:r>
        <w:t>The evolving financial landscape also sees platforms focusing on speed and user experience, especially as instant payments gain importance in fast-moving markets. The demand for rapid fund transfers is driven by real-time market movements and the expectations of digitally savvy investors, pushing brokers and trading platforms to reassess their transaction processes to stay competitive.</w:t>
      </w:r>
      <w:r/>
    </w:p>
    <w:p>
      <w:r/>
      <w:r>
        <w:t>In broader financial news, eToro reported a significant 48% year-over-year increase in net income for the third quarter, although its sequential growth slowed. CEO Yoni Assia indicated potential platform expansion through talks with event contract providers Kalshi and Polymarket, signalling continued innovation in retail trading offerings.</w:t>
      </w:r>
      <w:r/>
    </w:p>
    <w:p>
      <w:r/>
      <w:r>
        <w:t>Meanwhile, the UK central bank’s efforts to regulate stablecoins reflect ongoing vigilance over financial stability risks. Proposed rules include limits on individual holdings and requirements for issuers to keep a significant portion of backing assets in non-interest-bearing accounts at the Bank of England, though critics question the effectiveness of such measures.</w:t>
      </w:r>
      <w:r/>
    </w:p>
    <w:p>
      <w:r/>
      <w:r>
        <w:t>In prediction markets, Polymarket has re-entered the US market with a limited rollout after a prior exit due to regulatory fines, while CME Group plans a collaboration with FanDuel to debut a platform integrating traditional derivatives and sports betting, showcasing convergence trends in financial and betting markets.</w:t>
      </w:r>
      <w:r/>
    </w:p>
    <w:p>
      <w:r/>
      <w:r>
        <w:t>Overall, the trading and brokerage sectors face mounting challenges from regulatory expectations, competitive pressures, technological demands, and the ongoing threat of scams and consumer harm. Firms like Pepperstone are navigating a complex interplay of managing reputational risks associated with fraudulent clones, ensuring compliance with elevated consumer protection standards, and adapting to global market nuances.</w:t>
      </w:r>
      <w:r/>
    </w:p>
    <w:p>
      <w:pPr>
        <w:pStyle w:val="Heading3"/>
      </w:pPr>
      <w:r>
        <w:t>📌 Reference Map:</w:t>
      </w:r>
      <w:r/>
      <w:r/>
    </w:p>
    <w:p>
      <w:pPr>
        <w:pStyle w:val="ListBullet"/>
        <w:spacing w:line="240" w:lineRule="auto"/>
        <w:ind w:left="720"/>
      </w:pPr>
      <w:r/>
      <w:hyperlink r:id="rId9">
        <w:r>
          <w:rPr>
            <w:color w:val="0000EE"/>
            <w:u w:val="single"/>
          </w:rPr>
          <w:t>[1]</w:t>
        </w:r>
      </w:hyperlink>
      <w:r>
        <w:t xml:space="preserve"> (Finance Magnates) - Paragraphs 1, 3, 4, 5, 7, 8, 9, 10</w:t>
      </w:r>
      <w:r/>
    </w:p>
    <w:p>
      <w:pPr>
        <w:pStyle w:val="ListBullet"/>
        <w:spacing w:line="240" w:lineRule="auto"/>
        <w:ind w:left="720"/>
      </w:pPr>
      <w:r/>
      <w:hyperlink r:id="rId10">
        <w:r>
          <w:rPr>
            <w:color w:val="0000EE"/>
            <w:u w:val="single"/>
          </w:rPr>
          <w:t>[2]</w:t>
        </w:r>
      </w:hyperlink>
      <w:r>
        <w:t xml:space="preserve"> (Reuters) - Paragraphs 2, 3</w:t>
      </w:r>
      <w:r/>
    </w:p>
    <w:p>
      <w:pPr>
        <w:pStyle w:val="ListBullet"/>
        <w:spacing w:line="240" w:lineRule="auto"/>
        <w:ind w:left="720"/>
      </w:pPr>
      <w:r/>
      <w:hyperlink r:id="rId11">
        <w:r>
          <w:rPr>
            <w:color w:val="0000EE"/>
            <w:u w:val="single"/>
          </w:rPr>
          <w:t>[3]</w:t>
        </w:r>
      </w:hyperlink>
      <w:r>
        <w:t xml:space="preserve"> (FCA Press Release) - Paragraphs 2, 3</w:t>
      </w:r>
      <w:r/>
    </w:p>
    <w:p>
      <w:pPr>
        <w:pStyle w:val="ListBullet"/>
        <w:spacing w:line="240" w:lineRule="auto"/>
        <w:ind w:left="720"/>
      </w:pPr>
      <w:r/>
      <w:hyperlink r:id="rId12">
        <w:r>
          <w:rPr>
            <w:color w:val="0000EE"/>
            <w:u w:val="single"/>
          </w:rPr>
          <w:t>[4]</w:t>
        </w:r>
      </w:hyperlink>
      <w:r>
        <w:t xml:space="preserve"> (FCA Press Release) - Paragraph 3</w:t>
      </w:r>
      <w:r/>
    </w:p>
    <w:p>
      <w:pPr>
        <w:pStyle w:val="ListBullet"/>
        <w:spacing w:line="240" w:lineRule="auto"/>
        <w:ind w:left="720"/>
      </w:pPr>
      <w:r/>
      <w:hyperlink r:id="rId13">
        <w:r>
          <w:rPr>
            <w:color w:val="0000EE"/>
            <w:u w:val="single"/>
          </w:rPr>
          <w:t>[5]</w:t>
        </w:r>
      </w:hyperlink>
      <w:r>
        <w:t xml:space="preserve"> (FCA Press Release) - Paragraph 3</w:t>
      </w:r>
      <w:r/>
    </w:p>
    <w:p>
      <w:pPr>
        <w:pStyle w:val="ListBullet"/>
        <w:spacing w:line="240" w:lineRule="auto"/>
        <w:ind w:left="720"/>
      </w:pPr>
      <w:r/>
      <w:hyperlink r:id="rId14">
        <w:r>
          <w:rPr>
            <w:color w:val="0000EE"/>
            <w:u w:val="single"/>
          </w:rPr>
          <w:t>[6]</w:t>
        </w:r>
      </w:hyperlink>
      <w:r>
        <w:t xml:space="preserve"> (Sitejabber) - Paragraph 4</w:t>
      </w:r>
      <w:r/>
    </w:p>
    <w:p>
      <w:pPr>
        <w:pStyle w:val="ListBullet"/>
        <w:spacing w:line="240" w:lineRule="auto"/>
        <w:ind w:left="720"/>
      </w:pPr>
      <w:r/>
      <w:hyperlink r:id="rId15">
        <w:r>
          <w:rPr>
            <w:color w:val="0000EE"/>
            <w:u w:val="single"/>
          </w:rPr>
          <w:t>[7]</w:t>
        </w:r>
      </w:hyperlink>
      <w:r>
        <w:t xml:space="preserve"> (FCA Guidance) - Paragraphs 2,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?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https://www.reuters.com/sustainability/boards-policy-regulation/uk-regulator-warns-cfd-firms-against-failing-consumers-2025-11-13/</w:t>
        </w:r>
      </w:hyperlink>
      <w:r>
        <w:t xml:space="preserve"> - The UK's Financial Conduct Authority (FCA) has issued a warning to Contracts for Difference (CFD) providers, stating it will take action against those failing to ensure fair value to consumers. This comes two years after the implementation of the Consumer Duty regulations in 2023, which mandated higher standards of consumer protection. A recent FCA review revealed that some CFD providers had made minimal to no improvements in products or services despite the new rules. Concerns include inadequate handling of consumer complaints, unexplained overnight funding charges, and lack of transparency that does not benefit consumers. CFDs are high-risk financial products that allow speculation on price movements without asset ownership. The FCA emphasized that CFD firms must align with the Consumer Duty, which demands understandable communication, need-based products, and fair value.</w:t>
      </w:r>
      <w:r/>
    </w:p>
    <w:p>
      <w:pPr>
        <w:pStyle w:val="ListNumber"/>
        <w:spacing w:line="240" w:lineRule="auto"/>
        <w:ind w:left="720"/>
      </w:pPr>
      <w:r/>
      <w:hyperlink r:id="rId11">
        <w:r>
          <w:rPr>
            <w:color w:val="0000EE"/>
            <w:u w:val="single"/>
          </w:rPr>
          <w:t>https://www.fca.org.uk/news/press-releases/fca-review-finds-cfd-providers-may-be-failing-deliver-fair-value-consumers</w:t>
        </w:r>
      </w:hyperlink>
      <w:r>
        <w:t xml:space="preserve"> - The Financial Conduct Authority (FCA) has warned Contracts for Difference (CFD) providers to ensure they deliver fair value to consumers. A recent FCA review found that some firms had not made necessary changes to their products or services in response to the Consumer Duty regulations introduced in July 2023. Issues identified include inadequate consideration of consumer complaints in fair value assessments, unexplained overnight funding charges, and lack of transparency. The FCA emphasized that CFD providers must meet the standards set by the Consumer Duty, which aims to raise the bar for consumer protection across financial services.</w:t>
      </w:r>
      <w:r/>
    </w:p>
    <w:p>
      <w:pPr>
        <w:pStyle w:val="ListNumber"/>
        <w:spacing w:line="240" w:lineRule="auto"/>
        <w:ind w:left="720"/>
      </w:pPr>
      <w:r/>
      <w:hyperlink r:id="rId12">
        <w:r>
          <w:rPr>
            <w:color w:val="0000EE"/>
            <w:u w:val="single"/>
          </w:rPr>
          <w:t>https://www.fca.org.uk/news/press-releases/fca-warns-investors-cfds-risk-losing-out-protections</w:t>
        </w:r>
      </w:hyperlink>
      <w:r>
        <w:t xml:space="preserve"> - The Financial Conduct Authority (FCA) has cautioned investors in Contracts for Difference (CFDs) against losing vital consumer protections. The FCA is concerned that some firms are pressuring investors to claim professional client status, which would remove certain protections. Retail client protections, including leverage limits and client loss protections, prevent nearly 400,000 people annually from risking more than their original stake in CFDs. The FCA also highlighted the risks associated with 'finfluencers' promoting unregulated firms operating offshore, leading to significant financial losses for consumers.</w:t>
      </w:r>
      <w:r/>
    </w:p>
    <w:p>
      <w:pPr>
        <w:pStyle w:val="ListNumber"/>
        <w:spacing w:line="240" w:lineRule="auto"/>
        <w:ind w:left="720"/>
      </w:pPr>
      <w:r/>
      <w:hyperlink r:id="rId13">
        <w:r>
          <w:rPr>
            <w:color w:val="0000EE"/>
            <w:u w:val="single"/>
          </w:rPr>
          <w:t>https://www.fca.org.uk/news/press-releases/fca-highlights-continuing-concerns-about-problem-firms-cfd-sector</w:t>
        </w:r>
      </w:hyperlink>
      <w:r>
        <w:t xml:space="preserve"> - The Financial Conduct Authority (FCA) has highlighted ongoing concerns about problematic firms in the Contracts for Difference (CFD) sector. The FCA has taken action against 24 firms marketing CFDs in the UK, preventing an estimated £100 million a year of harm to consumers. Issues include fake celebrity endorsements, pressure-sales tactics, and inducements to upgrade to elective professional status, which deprives consumers of protection under FCA rules. The FCA has written to CFD providers outlining expectations and areas of poor practice, urging agreed actions by January 2023.</w:t>
      </w:r>
      <w:r/>
    </w:p>
    <w:p>
      <w:pPr>
        <w:pStyle w:val="ListNumber"/>
        <w:spacing w:line="240" w:lineRule="auto"/>
        <w:ind w:left="720"/>
      </w:pPr>
      <w:r/>
      <w:hyperlink r:id="rId14">
        <w:r>
          <w:rPr>
            <w:color w:val="0000EE"/>
            <w:u w:val="single"/>
          </w:rPr>
          <w:t>https://www.sitejabber.com/reviews/pepperstone.com</w:t>
        </w:r>
      </w:hyperlink>
      <w:r>
        <w:t xml:space="preserve"> - Customer reviews on Sitejabber reveal multiple complaints about Pepperstone, a financial services firm. Users report sudden account closures, withdrawal issues, and claims of funds being withheld. One reviewer from South Africa stated, "Pepperstone is scammers. Be warned, they take your money and when it comes to payout then you have to pay thousands more and they don't pay out." Another reviewer from Cameroon described the experience as "PERPPERSTONE IS A BIG AND REAL SCAM," detailing a loss of investment and unresponsive customer service. These reviews highlight significant concerns regarding Pepperstone's business practices and customer service.</w:t>
      </w:r>
      <w:r/>
    </w:p>
    <w:p>
      <w:pPr>
        <w:pStyle w:val="ListNumber"/>
        <w:spacing w:line="240" w:lineRule="auto"/>
        <w:ind w:left="720"/>
      </w:pPr>
      <w:r/>
      <w:hyperlink r:id="rId15">
        <w:r>
          <w:rPr>
            <w:color w:val="0000EE"/>
            <w:u w:val="single"/>
          </w:rPr>
          <w:t>https://www.fca.org.uk/firms/contract-for-differences</w:t>
        </w:r>
      </w:hyperlink>
      <w:r>
        <w:t xml:space="preserve"> - The Financial Conduct Authority (FCA) provides guidance on Contracts for Difference (CFDs), including spread betting and rolling spot foreign exchange (FX). CFDs are high-risk products not suitable for all retail consumers. The FCA expects firms to comply with rules ensuring these products are marketed and sold appropriately. Consumers encouraged to 'opt up' as professional clients should be aware they will lose some of the protection that retail customers receive. The FCA's expectations include ensuring products deliver good outcomes for retail consumers and that firms act to deliver good outcomes for customers, communicate clearly, and provide fair value.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?oc=5&amp;hl=en-US&amp;gl=US&amp;ceid=US:en" TargetMode="External"/><Relationship Id="rId10" Type="http://schemas.openxmlformats.org/officeDocument/2006/relationships/hyperlink" Target="https://www.reuters.com/sustainability/boards-policy-regulation/uk-regulator-warns-cfd-firms-against-failing-consumers-2025-11-13/" TargetMode="External"/><Relationship Id="rId11" Type="http://schemas.openxmlformats.org/officeDocument/2006/relationships/hyperlink" Target="https://www.fca.org.uk/news/press-releases/fca-review-finds-cfd-providers-may-be-failing-deliver-fair-value-consumers" TargetMode="External"/><Relationship Id="rId12" Type="http://schemas.openxmlformats.org/officeDocument/2006/relationships/hyperlink" Target="https://www.fca.org.uk/news/press-releases/fca-warns-investors-cfds-risk-losing-out-protections" TargetMode="External"/><Relationship Id="rId13" Type="http://schemas.openxmlformats.org/officeDocument/2006/relationships/hyperlink" Target="https://www.fca.org.uk/news/press-releases/fca-highlights-continuing-concerns-about-problem-firms-cfd-sector" TargetMode="External"/><Relationship Id="rId14" Type="http://schemas.openxmlformats.org/officeDocument/2006/relationships/hyperlink" Target="https://www.sitejabber.com/reviews/pepperstone.com" TargetMode="External"/><Relationship Id="rId15" Type="http://schemas.openxmlformats.org/officeDocument/2006/relationships/hyperlink" Target="https://www.fca.org.uk/firms/contract-for-differen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