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private equity accelerates unprecedented investment in the UK legal sector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Private equity investment in the UK legal sector has reached unprecedented levels in 2024, with over £500 million injected into the market, signalling robust investor confidence and heightened activity. Notably, US private equity houses are emerging as principal players in this surge, drawn by unique regulatory advantages and the sector’s economic resilience.</w:t>
      </w:r>
      <w:r/>
    </w:p>
    <w:p>
      <w:r/>
      <w:r>
        <w:t>One critical factor differentiating the UK legal market is the permissibility of non-lawyer ownership of law firms in England and Wales, a restriction that largely bars US private equity from direct investment in their home market's legal firms. This regulatory environment positions UK law firms as attractive entry points for US investors looking to expand their footprint in the mature European professional services landscape.</w:t>
      </w:r>
      <w:r/>
    </w:p>
    <w:p>
      <w:r/>
      <w:r>
        <w:t>The UK legal sector’s resilience amid economic challenges strengthens this appeal. Generating over £40 billion annually, legal services maintain stable, often recurring revenues due to long-term client relationships, insulating them somewhat from economic downturns that impact more cyclical sectors like retail or leisure. This stability, combined with the sector’s fragmentation, over 9,000 firms operate in England and Wales, creates ample opportunities for consolidation. US private equity firms are keen to leverage buy-and-build strategies to combine complementary firms into larger, more competitive platforms that can scale rapidly.</w:t>
      </w:r>
      <w:r/>
    </w:p>
    <w:p>
      <w:r/>
      <w:r>
        <w:t>Private equity-backed law firms have already demonstrated significant performance advantages. Data indicates that such firms have achieved around 30% revenue growth over the past two years, doubling the 15% growth reported by the UK's top 50 law firms. This accelerated expansion is often facilitated through mergers that broaden service ranges and geographical reach, enabling access to larger clients and enhanced economies of scale.</w:t>
      </w:r>
      <w:r/>
    </w:p>
    <w:p>
      <w:r/>
      <w:r>
        <w:t>The trend extends beyond law firms themselves. For example, Burford Capital’s minority investment in legal advisory firm Kindleworth illustrates private equity’s growing interest in ancillary legal services, such as technology platforms and cost management companies, which support law firms and create new revenue channels.</w:t>
      </w:r>
      <w:r/>
    </w:p>
    <w:p>
      <w:r/>
      <w:r>
        <w:t>The appeal of UK law firms also lies in their potential as springboards into broader European operations, favoured for geographic proximity and similarities in regulatory frameworks. This transatlantic market alignment is further facilitated by converging private equity hold periods, with UK and US PE firms now generally adopting five to seven-year investment cycles. This alignment simplifies secondary buyouts, where US firms buy stakes from UK private equity houses, enhancing fluidity in market investment.</w:t>
      </w:r>
      <w:r/>
    </w:p>
    <w:p>
      <w:r/>
      <w:r>
        <w:t>However, incorporation of US private equity means law firms must navigate unique challenges. The "move fast and scale" mindset typical of US investors can clash with law firms' culture, which values trust, client loyalty, and quality above rapid expansion. Founders must therefore clearly define their growth ambitions and ensure cultural compatibility with investors to protect their firm's foundational relationships and legacy.</w:t>
      </w:r>
      <w:r/>
    </w:p>
    <w:p>
      <w:r/>
      <w:r>
        <w:t>Regulatory complexity also poses hurdles. US investors may be less familiar with the intricacies of UK and EU legal frameworks, requiring expertise in cross-border deal structures and navigation of stringent professional regulations. Founders must negotiate carefully to avoid overly restrictive covenants often sought in US private equity deals, such as long earn-outs and complex exit terms.</w:t>
      </w:r>
      <w:r/>
    </w:p>
    <w:p>
      <w:r/>
      <w:r>
        <w:t>At the same time, the infusion of capital has enabled significant expansion and innovation. Private equity firm Inflexion, the largest investor over the past five years with nearly £450 million, exemplifies how such funding supports scaling and future-proofing law firms amidst evolving market demands.</w:t>
      </w:r>
      <w:r/>
    </w:p>
    <w:p>
      <w:r/>
      <w:r>
        <w:t>The trend towards consolidation is also manifesting in high-profile transatlantic alliances between law firms themselves. The recent merger of Herbert Smith Freehills and US-based Kramer Levin created a global entity with 2,700 lawyers and over $2 billion in annual revenue, underscoring how combining UK roots with US firms enhances competitiveness internationally. Similarly, US law firm Perkins Coie’s launch of a London office, staffed by notable recruits from established firms, reflects growing US legal sector ambitions to deepen their presence within the UK’s dealmaking ecosystem.</w:t>
      </w:r>
      <w:r/>
    </w:p>
    <w:p>
      <w:r/>
      <w:r>
        <w:t>Underlying these developments is a broader private equity momentum that transcends the legal sector. For instance, Blackstone’s announcement of a £10 billion investment into an AI data centre project in northeast England illustrates significant US PE commitment to UK growth industries, signalling confidence across multiple sectors that could indirectly benefit professional services.</w:t>
      </w:r>
      <w:r/>
    </w:p>
    <w:p>
      <w:r/>
      <w:r>
        <w:t>In conclusion, US private equity’s intensified involvement in the UK legal market underscores the sector’s attractiveness as a resilient, scalable investment opportunity within Europe. Yet, firms must carefully balance growth ambitions with cultural fit, regulatory compliance, and partnership alignment. Successful collaborations will hinge on founders' strategic clarity and disciplined navigation of this evolving landscape, ensuring that investments not only accelerate growth but also preserve the enduring values upon which UK law firms are built.</w:t>
      </w:r>
      <w:r/>
    </w:p>
    <w:p>
      <w:pPr>
        <w:pStyle w:val="Heading3"/>
      </w:pPr>
      <w:r>
        <w:t>📌 Reference Map:</w:t>
      </w:r>
      <w:r/>
      <w:r/>
    </w:p>
    <w:p>
      <w:pPr>
        <w:pStyle w:val="ListBullet"/>
        <w:spacing w:line="240" w:lineRule="auto"/>
        <w:ind w:left="720"/>
      </w:pPr>
      <w:r/>
      <w:hyperlink r:id="rId9">
        <w:r>
          <w:rPr>
            <w:color w:val="0000EE"/>
            <w:u w:val="single"/>
          </w:rPr>
          <w:t>[1]</w:t>
        </w:r>
      </w:hyperlink>
      <w:r>
        <w:t xml:space="preserve"> Legal Futures (Paul Joyce guest post) – all paragraphs</w:t>
      </w:r>
      <w:r/>
    </w:p>
    <w:p>
      <w:pPr>
        <w:pStyle w:val="ListBullet"/>
        <w:spacing w:line="240" w:lineRule="auto"/>
        <w:ind w:left="720"/>
      </w:pPr>
      <w:r/>
      <w:hyperlink r:id="rId10">
        <w:r>
          <w:rPr>
            <w:color w:val="0000EE"/>
            <w:u w:val="single"/>
          </w:rPr>
          <w:t>[2]</w:t>
        </w:r>
      </w:hyperlink>
      <w:r>
        <w:t xml:space="preserve"> Legal Futures – paragraphs 2, 4, 5, 7</w:t>
      </w:r>
      <w:r/>
    </w:p>
    <w:p>
      <w:pPr>
        <w:pStyle w:val="ListBullet"/>
        <w:spacing w:line="240" w:lineRule="auto"/>
        <w:ind w:left="720"/>
      </w:pPr>
      <w:r/>
      <w:hyperlink r:id="rId11">
        <w:r>
          <w:rPr>
            <w:color w:val="0000EE"/>
            <w:u w:val="single"/>
          </w:rPr>
          <w:t>[3]</w:t>
        </w:r>
      </w:hyperlink>
      <w:r>
        <w:t xml:space="preserve"> Law News – paragraphs 3, 4, 5, 6</w:t>
      </w:r>
      <w:r/>
    </w:p>
    <w:p>
      <w:pPr>
        <w:pStyle w:val="ListBullet"/>
        <w:spacing w:line="240" w:lineRule="auto"/>
        <w:ind w:left="720"/>
      </w:pPr>
      <w:r/>
      <w:hyperlink r:id="rId12">
        <w:r>
          <w:rPr>
            <w:color w:val="0000EE"/>
            <w:u w:val="single"/>
          </w:rPr>
          <w:t>[4]</w:t>
        </w:r>
      </w:hyperlink>
      <w:r>
        <w:t xml:space="preserve"> Reuters – paragraphs 8, 9</w:t>
      </w:r>
      <w:r/>
    </w:p>
    <w:p>
      <w:pPr>
        <w:pStyle w:val="ListBullet"/>
        <w:spacing w:line="240" w:lineRule="auto"/>
        <w:ind w:left="720"/>
      </w:pPr>
      <w:r/>
      <w:hyperlink r:id="rId13">
        <w:r>
          <w:rPr>
            <w:color w:val="0000EE"/>
            <w:u w:val="single"/>
          </w:rPr>
          <w:t>[5]</w:t>
        </w:r>
      </w:hyperlink>
      <w:r>
        <w:t xml:space="preserve"> Reuters – paragraph 8</w:t>
      </w:r>
      <w:r/>
    </w:p>
    <w:p>
      <w:pPr>
        <w:pStyle w:val="ListBullet"/>
        <w:spacing w:line="240" w:lineRule="auto"/>
        <w:ind w:left="720"/>
      </w:pPr>
      <w:r/>
      <w:hyperlink r:id="rId14">
        <w:r>
          <w:rPr>
            <w:color w:val="0000EE"/>
            <w:u w:val="single"/>
          </w:rPr>
          <w:t>[6]</w:t>
        </w:r>
      </w:hyperlink>
      <w:r>
        <w:t xml:space="preserve"> Reuters – paragraph 9</w:t>
      </w:r>
      <w:r/>
    </w:p>
    <w:p>
      <w:pPr>
        <w:pStyle w:val="ListBullet"/>
        <w:spacing w:line="240" w:lineRule="auto"/>
        <w:ind w:left="720"/>
      </w:pPr>
      <w:r/>
      <w:hyperlink r:id="rId15">
        <w:r>
          <w:rPr>
            <w:color w:val="0000EE"/>
            <w:u w:val="single"/>
          </w:rPr>
          <w:t>[7]</w:t>
        </w:r>
      </w:hyperlink>
      <w:r>
        <w:t xml:space="preserve"> Reuters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https://www.legalfutures.co.uk/blog/how-law-firms-can-capitalise-on-interest-from-us-private-equity</w:t>
        </w:r>
      </w:hyperlink>
      <w:r>
        <w:t xml:space="preserve"> - Please view link - unable to able to access data</w:t>
      </w:r>
      <w:r/>
    </w:p>
    <w:p>
      <w:pPr>
        <w:pStyle w:val="ListNumber"/>
        <w:spacing w:line="240" w:lineRule="auto"/>
        <w:ind w:left="720"/>
      </w:pPr>
      <w:r/>
      <w:hyperlink r:id="rId10">
        <w:r>
          <w:rPr>
            <w:color w:val="0000EE"/>
            <w:u w:val="single"/>
          </w:rPr>
          <w:t>https://www.legalfutures.co.uk/latest-news/private-equity-invests-1-2bn-in-the-law-in-just-five-years</w:t>
        </w:r>
      </w:hyperlink>
      <w:r>
        <w:t xml:space="preserve"> - Private equity has invested nearly £1.2 billion into UK law firms over the past five years, with a record £534 million invested in 2024 alone. Inflexion has been the largest investor, spending nearly £450 million during this period. This surge in investment highlights the growing interest in the legal sector, offering firms the capital to scale, innovate, and future-proof their businesses. However, investors must navigate the deeply rooted culture of law firms, which are often hierarchical and reliant on the reputation of individual partners.</w:t>
      </w:r>
      <w:r/>
    </w:p>
    <w:p>
      <w:pPr>
        <w:pStyle w:val="ListNumber"/>
        <w:spacing w:line="240" w:lineRule="auto"/>
        <w:ind w:left="720"/>
      </w:pPr>
      <w:r/>
      <w:hyperlink r:id="rId11">
        <w:r>
          <w:rPr>
            <w:color w:val="0000EE"/>
            <w:u w:val="single"/>
          </w:rPr>
          <w:t>https://www.lawnews.co.uk/legal-insight/private-equity-is-reshaping-the-uk-legal-sector/</w:t>
        </w:r>
      </w:hyperlink>
      <w:r>
        <w:t xml:space="preserve"> - Private equity-backed law firms have experienced 30% revenue growth over the past two years, compared to 15% by the UK's Top 50 law firms. This accelerated growth is attributed to private equity firms leveraging the legal sector's stable income streams and fragmented structure, providing ample opportunities to consolidate and scale practices into larger, more competitive entities. Mergers of smaller law firms have extended their range of services and geographical reach, allowing them to attract larger clients and deliver economies of scale.</w:t>
      </w:r>
      <w:r/>
    </w:p>
    <w:p>
      <w:pPr>
        <w:pStyle w:val="ListNumber"/>
        <w:spacing w:line="240" w:lineRule="auto"/>
        <w:ind w:left="720"/>
      </w:pPr>
      <w:r/>
      <w:hyperlink r:id="rId12">
        <w:r>
          <w:rPr>
            <w:color w:val="0000EE"/>
            <w:u w:val="single"/>
          </w:rPr>
          <w:t>https://www.reuters.com/legal/legalindustry/us-law-firm-perkins-coie-banks-uk-private-equity-with-london-launch-2024-05-14/</w:t>
        </w:r>
      </w:hyperlink>
      <w:r>
        <w:t xml:space="preserve"> - U.S. law firm Perkins Coie has opened its first European office in London, led by a six-lawyer team mainly from White &amp; Case. This expansion marks the firm's venture into the European market, focusing on representing tech companies, mid-market private equity funds, and family offices. The London office will be headed by Ian Bagshaw, formerly of White &amp; Case, and includes ex-White &amp; Case partners Jan Andrusko, Jan Stejskal, and Jan Jakoubek, among others. The move follows a trend of U.S. law firms strengthening their presence in London's dealmaking sector.</w:t>
      </w:r>
      <w:r/>
    </w:p>
    <w:p>
      <w:pPr>
        <w:pStyle w:val="ListNumber"/>
        <w:spacing w:line="240" w:lineRule="auto"/>
        <w:ind w:left="720"/>
      </w:pPr>
      <w:r/>
      <w:hyperlink r:id="rId13">
        <w:r>
          <w:rPr>
            <w:color w:val="0000EE"/>
            <w:u w:val="single"/>
          </w:rPr>
          <w:t>https://www.reuters.com/legal/legalindustry/herbert-smith-freehills-kramer-levin-launch-latest-transatlantic-merger-2025-06-02/</w:t>
        </w:r>
      </w:hyperlink>
      <w:r>
        <w:t xml:space="preserve"> - Herbert Smith Freehills and Kramer Levin have completed a major transatlantic law firm merger, creating Herbert Smith Freehills Kramer, a global legal entity comprising 2,700 lawyers and generating over $2 billion in annual revenue. The finalized deal, effective as of Sunday following an April partnership vote, brings together UK and Australian-rooted Herbert Smith Freehills with U.S.-based Kramer Levin, reflecting the ongoing trend of consolidation in the legal sector to enhance competitiveness across markets and practice areas.</w:t>
      </w:r>
      <w:r/>
    </w:p>
    <w:p>
      <w:pPr>
        <w:pStyle w:val="ListNumber"/>
        <w:spacing w:line="240" w:lineRule="auto"/>
        <w:ind w:left="720"/>
      </w:pPr>
      <w:r/>
      <w:hyperlink r:id="rId14">
        <w:r>
          <w:rPr>
            <w:color w:val="0000EE"/>
            <w:u w:val="single"/>
          </w:rPr>
          <w:t>https://www.reuters.com/technology/artificial-intelligence/blackstone-confirms-13-bln-investment-britain-ai-data-centre-2024-09-25/</w:t>
        </w:r>
      </w:hyperlink>
      <w:r>
        <w:t xml:space="preserve"> - Blackstone, the U.S. private equity firm, has confirmed a £10 billion ($13.3 billion) investment for an AI data center in northeast England, which will be situated on a previously derelict site in Blyth, Northumberland. The project, set to begin construction next year, is expected to create 4,000 jobs, with 1,200 dedicated to construction alone. This comes after previous plans for an electric vehicle battery factory fell through when Britishvolt collapsed last year. The new data center represents a rare growth opportunity for commercial landlords amidst declining prices of other assets.</w:t>
      </w:r>
      <w:r/>
    </w:p>
    <w:p>
      <w:pPr>
        <w:pStyle w:val="ListNumber"/>
        <w:spacing w:line="240" w:lineRule="auto"/>
        <w:ind w:left="720"/>
      </w:pPr>
      <w:r/>
      <w:hyperlink r:id="rId15">
        <w:r>
          <w:rPr>
            <w:color w:val="0000EE"/>
            <w:u w:val="single"/>
          </w:rPr>
          <w:t>https://www.reuters.com/legal/legalindustry/clifford-chance-taps-shearman-white-case-partners-uk-law-firms-gain-us-ground-2024-05-01/</w:t>
        </w:r>
      </w:hyperlink>
      <w:r>
        <w:t xml:space="preserve"> - Clifford Chance, a London-founded law firm, announced the hiring of two U.S. partners: Todd Lowther from Shearman &amp; Sterling and Chang-Do Gong from White &amp; Case. This move aligns with increasing U.S. expansions by UK law firms. On the same day, Allen &amp; Overy, another London-based firm, completed a significant merger with Shearman &amp; Sterling, forming A&amp;O Shearman. Clifford Chance has been bolstering its U.S. presence, including a merger with Roger &amp; Wells in 2000 and recent accelerated hiring, with 29 senior hires since early last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futures.co.uk/blog/how-law-firms-can-capitalise-on-interest-from-us-private-equity" TargetMode="External"/><Relationship Id="rId10" Type="http://schemas.openxmlformats.org/officeDocument/2006/relationships/hyperlink" Target="https://www.legalfutures.co.uk/latest-news/private-equity-invests-1-2bn-in-the-law-in-just-five-years" TargetMode="External"/><Relationship Id="rId11" Type="http://schemas.openxmlformats.org/officeDocument/2006/relationships/hyperlink" Target="https://www.lawnews.co.uk/legal-insight/private-equity-is-reshaping-the-uk-legal-sector/" TargetMode="External"/><Relationship Id="rId12" Type="http://schemas.openxmlformats.org/officeDocument/2006/relationships/hyperlink" Target="https://www.reuters.com/legal/legalindustry/us-law-firm-perkins-coie-banks-uk-private-equity-with-london-launch-2024-05-14/" TargetMode="External"/><Relationship Id="rId13" Type="http://schemas.openxmlformats.org/officeDocument/2006/relationships/hyperlink" Target="https://www.reuters.com/legal/legalindustry/herbert-smith-freehills-kramer-levin-launch-latest-transatlantic-merger-2025-06-02/" TargetMode="External"/><Relationship Id="rId14" Type="http://schemas.openxmlformats.org/officeDocument/2006/relationships/hyperlink" Target="https://www.reuters.com/technology/artificial-intelligence/blackstone-confirms-13-bln-investment-britain-ai-data-centre-2024-09-25/" TargetMode="External"/><Relationship Id="rId15" Type="http://schemas.openxmlformats.org/officeDocument/2006/relationships/hyperlink" Target="https://www.reuters.com/legal/legalindustry/clifford-chance-taps-shearman-white-case-partners-uk-law-firms-gain-us-ground-2024-05-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