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Financial sector pioneers responsible AI adoption amid data and trust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Artificial intelligence is rapidly transforming the financial services sector, with adoption levels accelerating at a pace reminiscent of the first digital transformation wave. According to KBV Research, the global AI-in-banking market is expected to reach nearly US $133 billion by 2030, underscoring the profound impact AI is having on banking, insurance, fintech, and wealth management platforms. These institutions are deploying AI for a variety of critical applications, including fraud detection, underwriting, risk modelling, customer insights, and operational efficiency.</w:t>
      </w:r>
      <w:r/>
    </w:p>
    <w:p>
      <w:r/>
      <w:r>
        <w:t>Despite these advancements, the finance industry remains one of the most highly regulated and consequence-sensitive sectors, which demands a cautious and responsible approach to AI adoption. The deployment of customer-facing AI systems, in particular, requires stringent oversight due to the potential risks associated with inaccurate information, such errors can mislead consumers, breach regulatory mandates, trigger compliance investigations, and erode customer trust. PwC’s 2024 trust research reveals that 40% of consumers have ceased buying from companies they no longer trust, and fewer than half are willing to forgive companies even when mistakes are corrected, highlighting the fragility of trust in financial services.</w:t>
      </w:r>
      <w:r/>
    </w:p>
    <w:p>
      <w:r/>
      <w:r>
        <w:t>Indeed, financial institutions are among the most advanced adopters of AI globally. A McKinsey &amp; Company forum on generative AI found that over 90% of banks surveyed have established centralised generative AI functions, reflecting a commitment to integrating AI into their operations. Nonetheless, the sector's leaders recognize that robust governance frameworks, rigorous compliance checks, and ethical considerations must govern AI systems, especially those interacting directly with customers.</w:t>
      </w:r>
      <w:r/>
    </w:p>
    <w:p>
      <w:r/>
      <w:r>
        <w:t>One of the most significant barriers to expanding AI use in finance is data quality and system integration. Challenges such as siloed or incomplete customer data, legacy infrastructure unsuited for real-time modelling, rigorous data handling regulations, and inconsistent metadata across systems create bottlenecks. McKinsey’s 2024 State of AI report indicates that 70% of high-performing organisations face major data-related challenges in scaling generative AI, including poor governance and insufficient training data. The sensitivity of AI deployment in finance is underscored by the critical need for contextual accuracy and regulatory compliance.</w:t>
      </w:r>
      <w:r/>
    </w:p>
    <w:p>
      <w:r/>
      <w:r>
        <w:t>Adding to the complexity is the growing skills gap within financial services organisations. There is a pressing demand for talent proficient in AI model testing, content governance, hallucination detection, data engineering, and compliance-aligned workflow design. The ability to maintain AI literacy across marketing and compliance teams is equally important. Without developing this expertise, even well-funded AI programmes cannot be scaled responsibly, limiting the potential benefits AI can bring.</w:t>
      </w:r>
      <w:r/>
    </w:p>
    <w:p>
      <w:r/>
      <w:r>
        <w:t>The rapid evolution of AI is also reshaping how customers discover financial products and services. Research by Gartner predicts that traditional search-engine traffic could decline by 25% by 2026, as AI chatbots and virtual assistants increasingly handle user queries. This shift means financial brands must ensure their visibility and accuracy in AI-driven discovery channels, as customers may now engage with AI-generated summaries before reaching official websites. Industry data from Ahrefs shows a notable decline in click-through rates to traditional results following the introduction of AI Overview features on Google, emphasising the need for brands to adapt their digital marketing and information strategies to this new AI-first landscape.</w:t>
      </w:r>
      <w:r/>
    </w:p>
    <w:p>
      <w:r/>
      <w:r>
        <w:t>Reflecting on these trends, Farhad Divecha, Group CEO of AccuraCast, notes that financial services brands are not struggling to adopt AI per se, but face the challenge of discerning genuinely productive AI solutions from hype. He stresses that in such a heavily regulated and competitive environment, financial marketers must prioritise rigorous testing and compliance, as inaccuracies can have severe legal and market stability implications. Looking ahead to 2026, Divecha highlights the importance of adapting marketing strategies to the evolving customer search behaviour shaped by AI, urging brands to actively monitor how they appear within AI-first channels.</w:t>
      </w:r>
      <w:r/>
    </w:p>
    <w:p>
      <w:r/>
      <w:r>
        <w:t>In conclusion, the financial services sector is setting a benchmark for the responsible adoption of AI. The competitive edge in 2026 and beyond will come not from the speed of AI adoption but from embedding strong governance, ensuring high-quality data foundations, and strategically managing visibility in an AI-led discovery era. Organisations that successfully combine these elements will not only drive technological innovation but also enhance trust, accuracy, and customer experience, cornerstones for sustained leadership in financial services.</w:t>
      </w:r>
      <w:r/>
    </w:p>
    <w:p>
      <w:pPr>
        <w:pStyle w:val="Heading3"/>
      </w:pPr>
      <w:r>
        <w:t>📌 Reference Map:</w:t>
      </w:r>
      <w:r/>
      <w:r/>
    </w:p>
    <w:p>
      <w:pPr>
        <w:pStyle w:val="ListBullet"/>
        <w:spacing w:line="240" w:lineRule="auto"/>
        <w:ind w:left="720"/>
      </w:pPr>
      <w:r/>
      <w:hyperlink r:id="rId9">
        <w:r>
          <w:rPr>
            <w:color w:val="0000EE"/>
            <w:u w:val="single"/>
          </w:rPr>
          <w:t>[1]</w:t>
        </w:r>
      </w:hyperlink>
      <w:r>
        <w:t xml:space="preserve"> Benzinga - Paragraphs 1, 3, 4, 5, 6, 7, 8, 9, 10, 11</w:t>
      </w:r>
      <w:r/>
    </w:p>
    <w:p>
      <w:pPr>
        <w:pStyle w:val="ListBullet"/>
        <w:spacing w:line="240" w:lineRule="auto"/>
        <w:ind w:left="720"/>
      </w:pPr>
      <w:r/>
      <w:hyperlink r:id="rId10">
        <w:r>
          <w:rPr>
            <w:color w:val="0000EE"/>
            <w:u w:val="single"/>
          </w:rPr>
          <w:t>[2]</w:t>
        </w:r>
      </w:hyperlink>
      <w:r>
        <w:t xml:space="preserve"> KBV Research - Paragraphs 1, 2</w:t>
      </w:r>
      <w:r/>
    </w:p>
    <w:p>
      <w:pPr>
        <w:pStyle w:val="ListBullet"/>
        <w:spacing w:line="240" w:lineRule="auto"/>
        <w:ind w:left="720"/>
      </w:pPr>
      <w:r/>
      <w:hyperlink r:id="rId11">
        <w:r>
          <w:rPr>
            <w:color w:val="0000EE"/>
            <w:u w:val="single"/>
          </w:rPr>
          <w:t>[3]</w:t>
        </w:r>
      </w:hyperlink>
      <w:r>
        <w:t xml:space="preserve"> McKinsey &amp; Company - Paragraphs 3, 5</w:t>
      </w:r>
      <w:r/>
    </w:p>
    <w:p>
      <w:pPr>
        <w:pStyle w:val="ListBullet"/>
        <w:spacing w:line="240" w:lineRule="auto"/>
        <w:ind w:left="720"/>
      </w:pPr>
      <w:r/>
      <w:hyperlink r:id="rId10">
        <w:r>
          <w:rPr>
            <w:color w:val="0000EE"/>
            <w:u w:val="single"/>
          </w:rPr>
          <w:t>[4]</w:t>
        </w:r>
      </w:hyperlink>
      <w:r>
        <w:t xml:space="preserve"> KBV Research (PwC Trust Research) - Paragraph 2</w:t>
      </w:r>
      <w:r/>
    </w:p>
    <w:p>
      <w:pPr>
        <w:pStyle w:val="ListBullet"/>
        <w:spacing w:line="240" w:lineRule="auto"/>
        <w:ind w:left="720"/>
      </w:pPr>
      <w:r/>
      <w:hyperlink r:id="rId10">
        <w:r>
          <w:rPr>
            <w:color w:val="0000EE"/>
            <w:u w:val="single"/>
          </w:rPr>
          <w:t>[5]</w:t>
        </w:r>
      </w:hyperlink>
      <w:r>
        <w:t xml:space="preserve"> KBV Research (McKinsey AI Report) - Paragraph 5</w:t>
      </w:r>
      <w:r/>
    </w:p>
    <w:p>
      <w:pPr>
        <w:pStyle w:val="ListBullet"/>
        <w:spacing w:line="240" w:lineRule="auto"/>
        <w:ind w:left="720"/>
      </w:pPr>
      <w:r/>
      <w:hyperlink r:id="rId10">
        <w:r>
          <w:rPr>
            <w:color w:val="0000EE"/>
            <w:u w:val="single"/>
          </w:rPr>
          <w:t>[6]</w:t>
        </w:r>
      </w:hyperlink>
      <w:r>
        <w:t xml:space="preserve"> KBV Research - Paragraph 6</w:t>
      </w:r>
      <w:r/>
    </w:p>
    <w:p>
      <w:pPr>
        <w:pStyle w:val="ListBullet"/>
        <w:spacing w:line="240" w:lineRule="auto"/>
        <w:ind w:left="720"/>
      </w:pPr>
      <w:r/>
      <w:hyperlink r:id="rId10">
        <w:r>
          <w:rPr>
            <w:color w:val="0000EE"/>
            <w:u w:val="single"/>
          </w:rPr>
          <w:t>[7]</w:t>
        </w:r>
      </w:hyperlink>
      <w:r>
        <w:t xml:space="preserve"> KBV Research (Gartner and Ahrefs data) - Paragraph 7</w:t>
      </w:r>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https://www.benzinga.com/Opinion/25/11/49003724/how-financial-services-is-approaching-responsible-ai</w:t>
        </w:r>
      </w:hyperlink>
      <w:r>
        <w:t xml:space="preserve"> - Please view link - unable to able to access data</w:t>
      </w:r>
      <w:r/>
    </w:p>
    <w:p>
      <w:pPr>
        <w:pStyle w:val="ListNumber"/>
        <w:spacing w:line="240" w:lineRule="auto"/>
        <w:ind w:left="720"/>
      </w:pPr>
      <w:r/>
      <w:hyperlink r:id="rId10">
        <w:r>
          <w:rPr>
            <w:color w:val="0000EE"/>
            <w:u w:val="single"/>
          </w:rPr>
          <w:t>https://www.kbvresearch.com/press-release/artificial-intelligence-in-banking-market/</w:t>
        </w:r>
      </w:hyperlink>
      <w:r>
        <w:t xml:space="preserve"> - KBV Research projects the global AI-in-banking market to reach US $132.9 billion by 2030, indicating significant growth in the sector. Financial institutions, including banks, insurers, fintechs, and wealth platforms, are increasingly adopting AI technologies for applications such as fraud detection, underwriting, risk modelling, customer insights, and operational efficiency. This widespread adoption underscores the transformative impact of AI on the financial services industry, enhancing decision-making processes and service delivery.</w:t>
      </w:r>
      <w:r/>
    </w:p>
    <w:p>
      <w:pPr>
        <w:pStyle w:val="ListNumber"/>
        <w:spacing w:line="240" w:lineRule="auto"/>
        <w:ind w:left="720"/>
      </w:pPr>
      <w:r/>
      <w:hyperlink r:id="rId11">
        <w:r>
          <w:rPr>
            <w:color w:val="0000EE"/>
            <w:u w:val="single"/>
          </w:rPr>
          <w:t>https://www.mckinsey.com/spcontent/bespoke/mckinsey-digital-quarterly/publications/86f1a5d3-365e-4b2d-a065-2194f801d7a2/mckinsey_quarterly_q3_2024_preview.pdf</w:t>
        </w:r>
      </w:hyperlink>
      <w:r>
        <w:t xml:space="preserve"> - McKinsey &amp; Company highlights that over 90% of banking institutions have established centralized generative AI functions. This widespread adoption reflects the sector's commitment to leveraging AI for enhanced decision-making and operational efficiency. The report emphasizes the importance of responsible AI deployment, particularly in customer-facing applications, to maintain trust and comply with regulatory standards. It also discusses the challenges related to data quality and system integration that financial institutions face when scaling AI solutions.</w:t>
      </w:r>
      <w:r/>
    </w:p>
    <w:p>
      <w:pPr>
        <w:pStyle w:val="ListNumber"/>
        <w:spacing w:line="240" w:lineRule="auto"/>
        <w:ind w:left="720"/>
      </w:pPr>
      <w:r/>
      <w:hyperlink r:id="rId10">
        <w:r>
          <w:rPr>
            <w:color w:val="0000EE"/>
            <w:u w:val="single"/>
          </w:rPr>
          <w:t>https://www.kbvresearch.com/press-release/artificial-intelligence-in-banking-market/</w:t>
        </w:r>
      </w:hyperlink>
      <w:r>
        <w:t xml:space="preserve"> - The financial services industry operates in a highly regulated environment, necessitating stringent oversight when deploying AI technologies. Inaccurate AI-generated information can lead to misinformation, regulatory breaches, compliance reviews, and erosion of customer trust. PwC's 2024 trust research indicates that 40% of consumers have ceased purchasing from companies they don't trust, highlighting the critical need for accuracy and responsibility in AI applications within the financial sector.</w:t>
      </w:r>
      <w:r/>
    </w:p>
    <w:p>
      <w:pPr>
        <w:pStyle w:val="ListNumber"/>
        <w:spacing w:line="240" w:lineRule="auto"/>
        <w:ind w:left="720"/>
      </w:pPr>
      <w:r/>
      <w:hyperlink r:id="rId10">
        <w:r>
          <w:rPr>
            <w:color w:val="0000EE"/>
            <w:u w:val="single"/>
          </w:rPr>
          <w:t>https://www.kbvresearch.com/press-release/artificial-intelligence-in-banking-market/</w:t>
        </w:r>
      </w:hyperlink>
      <w:r>
        <w:t xml:space="preserve"> - Data quality and system integration are significant barriers to scaling AI in financial services. McKinsey's 2024 State of AI report reveals that 70% of high-performing organizations encounter substantial data-related challenges, including poor data governance and insufficient training data. These issues are particularly sensitive in finance, where context, accuracy, and compliance are paramount. Addressing these challenges is essential for the effective deployment of AI technologies in the sector.</w:t>
      </w:r>
      <w:r/>
    </w:p>
    <w:p>
      <w:pPr>
        <w:pStyle w:val="ListNumber"/>
        <w:spacing w:line="240" w:lineRule="auto"/>
        <w:ind w:left="720"/>
      </w:pPr>
      <w:r/>
      <w:hyperlink r:id="rId10">
        <w:r>
          <w:rPr>
            <w:color w:val="0000EE"/>
            <w:u w:val="single"/>
          </w:rPr>
          <w:t>https://www.kbvresearch.com/press-release/artificial-intelligence-in-banking-market/</w:t>
        </w:r>
      </w:hyperlink>
      <w:r>
        <w:t xml:space="preserve"> - Financial services organizations are facing a growing skills gap in managing, testing, and governing AI systems. The modern marketing team requires expertise in AI model testing, content governance, hallucination detection, data engineering, compliance-aligned workflow design, and AI literacy across all roles. Without these capabilities, even well-funded AI programs cannot scale responsibly, underscoring the need for targeted talent development in the industry.</w:t>
      </w:r>
      <w:r/>
    </w:p>
    <w:p>
      <w:pPr>
        <w:pStyle w:val="ListNumber"/>
        <w:spacing w:line="240" w:lineRule="auto"/>
        <w:ind w:left="720"/>
      </w:pPr>
      <w:r/>
      <w:hyperlink r:id="rId10">
        <w:r>
          <w:rPr>
            <w:color w:val="0000EE"/>
            <w:u w:val="single"/>
          </w:rPr>
          <w:t>https://www.kbvresearch.com/press-release/artificial-intelligence-in-banking-market/</w:t>
        </w:r>
      </w:hyperlink>
      <w:r>
        <w:t xml:space="preserve"> - The shift towards AI-first discovery is reshaping customer journeys in the financial sector. Gartner predicts a 25% decline in traditional search-engine volume by 2026, as AI chatbots and virtual agents handle a growing share of user queries. This evolution necessitates that financial brands understand their visibility within AI-driven discovery systems and adapt their strategies to maintain customer engagement and trust in an increasingly AI-centric landscape.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enzinga.com/Opinion/25/11/49003724/how-financial-services-is-approaching-responsible-ai" TargetMode="External"/><Relationship Id="rId10" Type="http://schemas.openxmlformats.org/officeDocument/2006/relationships/hyperlink" Target="https://www.kbvresearch.com/press-release/artificial-intelligence-in-banking-market/" TargetMode="External"/><Relationship Id="rId11" Type="http://schemas.openxmlformats.org/officeDocument/2006/relationships/hyperlink" Target="https://www.mckinsey.com/spcontent/bespoke/mckinsey-digital-quarterly/publications/86f1a5d3-365e-4b2d-a065-2194f801d7a2/mckinsey_quarterly_q3_2024_preview.pdf"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