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SAP’s new enterprise AI model customises insights for structured business data amid quantum leaps and smarter advertising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At the recent SAP TechEd Berlin conference, SAP unveiled SAP-RPT-1, marking a bold step in enterprise AI innovation. Unlike typical large language models (LLMs) that primarily handle unstructured language data, SAP’s newly introduced model is uniquely designed for tabular, structured business data. This specialization allows it to generate accurate predictive insights for practical business scenarios such as payment delays and supplier risk assessments. Industry experts see this move as SAP’s strategic effort to bridge AI advancements with tangible user needs, particularly addressing longstanding challenges connected to legacy systems like the S/4HANA upgrade. SAP’s use of AI to assist with ABAP code reviews and promote transitions toward a cleaner system core further demonstrates the firm's commitment to helping businesses modernize critical infrastructure without succumbing to AI hype. This enterprise-focused innovation distinguishes SAP as the first in its sector to ship such a business-centric AI model, utilising both commercial and open-source versions to balance speed, accuracy, and security, with built-in compliance to frameworks like OWASP ML Top 10. </w:t>
      </w:r>
      <w:r/>
    </w:p>
    <w:p>
      <w:r/>
      <w:r>
        <w:t>Meanwhile, quantum computing made significant strides at IBM’s Quantum Developer Conference, signalling an accelerating momentum in this cutting-edge field. Among the key advancements were the successful implementation of error correction, a major technological hurdle, via the Lune processor and a novel IHOP processor, both designed to improve quantum hardware performance. Notably, IBM reported running a pivotal quantum error-correction algorithm on standard AMD chips, achieving processing speeds ten times faster than necessary and moving closer to viable commercial quantum computing. This breakthrough mitigates quantum error rates and fosters hardware stability, which industry insiders view as crucial steps toward practical applications by 2029. With more than 500 quantum developers attending the conference, the technology is transitioning from theoretical research into practical tools, poised to revolutionize areas like optimisation and predictive analytics for data-heavy industries, albeit requiring enterprises to invest in new skills.</w:t>
      </w:r>
      <w:r/>
    </w:p>
    <w:p>
      <w:r/>
      <w:r>
        <w:t>On the business strategy and advertising front, ConstellationTV highlighted innovative applications of analytics in marketing. Scott Searcy, a CX Supernova Award recipient, shared insights from his project leveraging Oracle Analytics Cloud to run highly precise geotargeting campaigns, initially prompted by zoning changes enabling new digital assets. By aligning political boundary data with geographical coordinates, these campaigns precisely targeted swing states during elections, boosting revenue through data-driven opportunities. This approach has since expanded beyond politics to live events and sports, showcasing the potential of combining analytics with real-world scenarios to optimise advertising impact while reducing waste, a model enterprises should consider for smarter media spending.</w:t>
      </w:r>
      <w:r/>
    </w:p>
    <w:p>
      <w:r/>
      <w:r>
        <w:t>Freshworks provided an instructive case study in strategic pivoting through a candid reassessment of its growth approach. Formerly pursuing a comprehensive engagement platform, the company recently opted to simplify its offering, focusing instead on streamlining both employee and customer service delivery. According to industry analyst Liz Miller, Freshworks encapsulates a critical leadership lesson by recognising that “complexity is the enemy of growth.” The company’s renewed emphasis on user-centric simplicity reflects an awareness that sprawling platform ambitions often generate internal chaos and hamper effectiveness. Central to this shift was Chief Marketing Officer Mika Yamamoto, whose leadership has been pivotal in navigating these internal and external demands, signalling the importance of adaptive, focussed leadership in contemporary markets.</w:t>
      </w:r>
      <w:r/>
    </w:p>
    <w:p>
      <w:r/>
      <w:r>
        <w:t>A consistent thread running through these developments is the maturation of artificial intelligence from speculative hype toward pragmatic utilisation. Liz Miller notes that organisations are increasingly evaluating AI by asking how it can simplify everyday operations rather than complicate them. While AI’s full transformative potential remains on the horizon, businesses are finding value in targeted applications spanning marketing, project management, and customer service. Yet, there is also a cautious realism emerging, with stakeholders urged to temper expectations and acknowledge the current limitations of AI technology alongside its promising possibilities.</w:t>
      </w:r>
      <w:r/>
    </w:p>
    <w:p>
      <w:r/>
      <w:r>
        <w:t>Collectively, these advancements underscore crucial lessons for modern enterprises: the need to ground innovation in practical business contexts, the imperative to prepare for emerging computational paradigms like quantum technology, the strategic advantage of data-driven advertising, the importance of simplifying complexity for growth, and a mature, balanced approach to adopting AI. As the enterprise technology landscape rapidly evolves, organisations that adopt these insights are better positioned to thrive amid change.</w:t>
      </w:r>
      <w:r/>
    </w:p>
    <w:p>
      <w:pPr>
        <w:pStyle w:val="Heading3"/>
      </w:pPr>
      <w:r>
        <w:t>📌 Reference Map:</w:t>
      </w:r>
      <w:r/>
      <w:r/>
    </w:p>
    <w:p>
      <w:pPr>
        <w:pStyle w:val="ListBullet"/>
        <w:spacing w:line="240" w:lineRule="auto"/>
        <w:ind w:left="720"/>
      </w:pPr>
      <w:r/>
      <w:hyperlink r:id="rId9">
        <w:r>
          <w:rPr>
            <w:color w:val="0000EE"/>
            <w:u w:val="single"/>
          </w:rPr>
          <w:t>[1]</w:t>
        </w:r>
      </w:hyperlink>
      <w:r>
        <w:t xml:space="preserve"> (Constellation Research) - Paragraphs 1, 3, 4, 5, 6, 7</w:t>
      </w:r>
      <w:r/>
    </w:p>
    <w:p>
      <w:pPr>
        <w:pStyle w:val="ListBullet"/>
        <w:spacing w:line="240" w:lineRule="auto"/>
        <w:ind w:left="720"/>
      </w:pPr>
      <w:r/>
      <w:hyperlink r:id="rId10">
        <w:r>
          <w:rPr>
            <w:color w:val="0000EE"/>
            <w:u w:val="single"/>
          </w:rPr>
          <w:t>[2]</w:t>
        </w:r>
      </w:hyperlink>
      <w:r>
        <w:t xml:space="preserve"> (SAP News) - Paragraph 1</w:t>
      </w:r>
      <w:r/>
    </w:p>
    <w:p>
      <w:pPr>
        <w:pStyle w:val="ListBullet"/>
        <w:spacing w:line="240" w:lineRule="auto"/>
        <w:ind w:left="720"/>
      </w:pPr>
      <w:r/>
      <w:hyperlink r:id="rId11">
        <w:r>
          <w:rPr>
            <w:color w:val="0000EE"/>
            <w:u w:val="single"/>
          </w:rPr>
          <w:t>[3]</w:t>
        </w:r>
      </w:hyperlink>
      <w:r>
        <w:t xml:space="preserve"> (Reuters) - Paragraph 2</w:t>
      </w:r>
      <w:r/>
    </w:p>
    <w:p>
      <w:pPr>
        <w:pStyle w:val="ListBullet"/>
        <w:spacing w:line="240" w:lineRule="auto"/>
        <w:ind w:left="720"/>
      </w:pPr>
      <w:r/>
      <w:hyperlink r:id="rId12">
        <w:r>
          <w:rPr>
            <w:color w:val="0000EE"/>
            <w:u w:val="single"/>
          </w:rPr>
          <w:t>[4]</w:t>
        </w:r>
      </w:hyperlink>
      <w:r>
        <w:t xml:space="preserve"> (Reuters) - Paragraph 2</w:t>
      </w:r>
      <w:r/>
    </w:p>
    <w:p>
      <w:pPr>
        <w:pStyle w:val="ListBullet"/>
        <w:spacing w:line="240" w:lineRule="auto"/>
        <w:ind w:left="720"/>
      </w:pPr>
      <w:r/>
      <w:hyperlink r:id="rId13">
        <w:r>
          <w:rPr>
            <w:color w:val="0000EE"/>
            <w:u w:val="single"/>
          </w:rPr>
          <w:t>[5]</w:t>
        </w:r>
      </w:hyperlink>
      <w:r>
        <w:t xml:space="preserve"> (Tom's Hardware) - Paragraph 2</w:t>
      </w:r>
      <w:r/>
    </w:p>
    <w:p>
      <w:pPr>
        <w:pStyle w:val="ListBullet"/>
        <w:spacing w:line="240" w:lineRule="auto"/>
        <w:ind w:left="720"/>
      </w:pPr>
      <w:r/>
      <w:hyperlink r:id="rId14">
        <w:r>
          <w:rPr>
            <w:color w:val="0000EE"/>
            <w:u w:val="single"/>
          </w:rPr>
          <w:t>[6]</w:t>
        </w:r>
      </w:hyperlink>
      <w:r>
        <w:t xml:space="preserve"> (SAP) - Paragraph 1</w:t>
      </w:r>
      <w:r/>
    </w:p>
    <w:p>
      <w:pPr>
        <w:pStyle w:val="ListBullet"/>
        <w:spacing w:line="240" w:lineRule="auto"/>
        <w:ind w:left="720"/>
      </w:pPr>
      <w:r/>
      <w:hyperlink r:id="rId15">
        <w:r>
          <w:rPr>
            <w:color w:val="0000EE"/>
            <w:u w:val="single"/>
          </w:rPr>
          <w:t>[7]</w:t>
        </w:r>
      </w:hyperlink>
      <w:r>
        <w:t xml:space="preserve"> (SAP Community) - Paragraph 1</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https://www.constellationr.com/blog-news/enterprise-tech-innovations-creative-advertising-and-freshworks-strategic-pivot</w:t>
        </w:r>
      </w:hyperlink>
      <w:r>
        <w:t xml:space="preserve"> - Please view link - unable to able to access data</w:t>
      </w:r>
      <w:r/>
    </w:p>
    <w:p>
      <w:pPr>
        <w:pStyle w:val="ListNumber"/>
        <w:spacing w:line="240" w:lineRule="auto"/>
        <w:ind w:left="720"/>
      </w:pPr>
      <w:r/>
      <w:hyperlink r:id="rId10">
        <w:r>
          <w:rPr>
            <w:color w:val="0000EE"/>
            <w:u w:val="single"/>
          </w:rPr>
          <w:t>https://news.sap.com/2025/11/business-ai-innovation-unveiled-at-sap-teched/</w:t>
        </w:r>
      </w:hyperlink>
      <w:r>
        <w:t xml:space="preserve"> - At SAP TechEd Berlin, SAP introduced SAP-RPT-1, its first enterprise relational foundation model. Unlike traditional large language models, SAP-RPT-1 is designed to understand and process tabular business data, enabling accurate predictions for scenarios like payment delays and supplier risks. This model aims to bridge the gap between AI innovation and practical business needs, offering a unified solution for various predictive tasks across business units.</w:t>
      </w:r>
      <w:r/>
    </w:p>
    <w:p>
      <w:pPr>
        <w:pStyle w:val="ListNumber"/>
        <w:spacing w:line="240" w:lineRule="auto"/>
        <w:ind w:left="720"/>
      </w:pPr>
      <w:r/>
      <w:hyperlink r:id="rId11">
        <w:r>
          <w:rPr>
            <w:color w:val="0000EE"/>
            <w:u w:val="single"/>
          </w:rPr>
          <w:t>https://www.reuters.com/business/ibm-says-key-quantum-computing-algorithm-can-run-conventional-amd-chips-2025-10-24/</w:t>
        </w:r>
      </w:hyperlink>
      <w:r>
        <w:t xml:space="preserve"> - IBM announced a significant advancement in quantum computing by successfully running a crucial error correction algorithm on standard AMD chips. This breakthrough addresses one of the major challenges in quantum computing—error correction—and brings IBM closer to making quantum computers commercially viable. The algorithm operates in real-time and is ten times faster than necessary, marking a substantial step forward in IBM's quantum computing initiatives.</w:t>
      </w:r>
      <w:r/>
    </w:p>
    <w:p>
      <w:pPr>
        <w:pStyle w:val="ListNumber"/>
        <w:spacing w:line="240" w:lineRule="auto"/>
        <w:ind w:left="720"/>
      </w:pPr>
      <w:r/>
      <w:hyperlink r:id="rId12">
        <w:r>
          <w:rPr>
            <w:color w:val="0000EE"/>
            <w:u w:val="single"/>
          </w:rPr>
          <w:t>https://www.reuters.com/technology/ibm-says-loon-chip-shows-path-useful-quantum-computers-by-2029-2025-11-12/</w:t>
        </w:r>
      </w:hyperlink>
      <w:r>
        <w:t xml:space="preserve"> - IBM unveiled 'Loon,' an experimental quantum computing chip that demonstrates progress toward practical quantum computers by 2029. The chip addresses error rates inherent in quantum systems by implementing an innovative error-correction method. Despite the added complexity, experts view this approach as promising, with IBM leveraging advanced manufacturing capabilities to develop the chip, marking a significant milestone in quantum computing research.</w:t>
      </w:r>
      <w:r/>
    </w:p>
    <w:p>
      <w:pPr>
        <w:pStyle w:val="ListNumber"/>
        <w:spacing w:line="240" w:lineRule="auto"/>
        <w:ind w:left="720"/>
      </w:pPr>
      <w:r/>
      <w:hyperlink r:id="rId13">
        <w:r>
          <w:rPr>
            <w:color w:val="0000EE"/>
            <w:u w:val="single"/>
          </w:rPr>
          <w:t>https://www.tomshardware.com/tech-industry/quantum-computing/ibms-boffins-run-a-nifty-quantum-error-correction-algorithm-on-conventional-amd-fpgas-research-propels-ibms-starling-quantum-computer-project-forward</w:t>
        </w:r>
      </w:hyperlink>
      <w:r>
        <w:t xml:space="preserve"> - IBM researchers have successfully executed a quantum error-correction algorithm on standard AMD FPGA chips, achieving real-time error correction ten times faster than required. This advancement addresses a core challenge in quantum computing and propels IBM's Starling quantum computer project forward, potentially accelerating the timeline for practical quantum computing applications.</w:t>
      </w:r>
      <w:r/>
    </w:p>
    <w:p>
      <w:pPr>
        <w:pStyle w:val="ListNumber"/>
        <w:spacing w:line="240" w:lineRule="auto"/>
        <w:ind w:left="720"/>
      </w:pPr>
      <w:r/>
      <w:hyperlink r:id="rId14">
        <w:r>
          <w:rPr>
            <w:color w:val="0000EE"/>
            <w:u w:val="single"/>
          </w:rPr>
          <w:t>https://www.sap.com/latvia/products/artificial-intelligence/sap-rpt.html</w:t>
        </w:r>
      </w:hyperlink>
      <w:r>
        <w:t xml:space="preserve"> - SAP-RPT-1 is a pre-trained relational foundation model designed to provide predictive insights from structured business data. It offers two commercial versions tuned for different speed and accuracy balances, as well as an open-source release. The model aims to accelerate time to insights, generate accurate predictions from imperfect data, and scale predictive power across enterprises.</w:t>
      </w:r>
      <w:r/>
    </w:p>
    <w:p>
      <w:pPr>
        <w:pStyle w:val="ListNumber"/>
        <w:spacing w:line="240" w:lineRule="auto"/>
        <w:ind w:left="720"/>
      </w:pPr>
      <w:r/>
      <w:hyperlink r:id="rId15">
        <w:r>
          <w:rPr>
            <w:color w:val="0000EE"/>
            <w:u w:val="single"/>
          </w:rPr>
          <w:t>https://community.sap.com/t5/technology-blog-posts-by-sap/sap-rpt-1-a-revolutionary-tabular-ml-model-and-owasp-ml-top-10-compliance/ba-p/14270750</w:t>
        </w:r>
      </w:hyperlink>
      <w:r>
        <w:t xml:space="preserve"> - SAP-RPT-1 is a classification and regression model specifically designed for structured data, differing from traditional large language models. Its architecture focuses on understanding tabular data, making it subject to the OWASP ML Top 10 security framework. The model employs in-context learning, using customer data as contextual examples without modifying model parameters, enhancing security by eliminating risks associated with model weight manipulation.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onstellationr.com/blog-news/enterprise-tech-innovations-creative-advertising-and-freshworks-strategic-pivot" TargetMode="External"/><Relationship Id="rId10" Type="http://schemas.openxmlformats.org/officeDocument/2006/relationships/hyperlink" Target="https://news.sap.com/2025/11/business-ai-innovation-unveiled-at-sap-teched/" TargetMode="External"/><Relationship Id="rId11" Type="http://schemas.openxmlformats.org/officeDocument/2006/relationships/hyperlink" Target="https://www.reuters.com/business/ibm-says-key-quantum-computing-algorithm-can-run-conventional-amd-chips-2025-10-24/" TargetMode="External"/><Relationship Id="rId12" Type="http://schemas.openxmlformats.org/officeDocument/2006/relationships/hyperlink" Target="https://www.reuters.com/technology/ibm-says-loon-chip-shows-path-useful-quantum-computers-by-2029-2025-11-12/" TargetMode="External"/><Relationship Id="rId13" Type="http://schemas.openxmlformats.org/officeDocument/2006/relationships/hyperlink" Target="https://www.tomshardware.com/tech-industry/quantum-computing/ibms-boffins-run-a-nifty-quantum-error-correction-algorithm-on-conventional-amd-fpgas-research-propels-ibms-starling-quantum-computer-project-forward" TargetMode="External"/><Relationship Id="rId14" Type="http://schemas.openxmlformats.org/officeDocument/2006/relationships/hyperlink" Target="https://www.sap.com/latvia/products/artificial-intelligence/sap-rpt.html" TargetMode="External"/><Relationship Id="rId15" Type="http://schemas.openxmlformats.org/officeDocument/2006/relationships/hyperlink" Target="https://community.sap.com/t5/technology-blog-posts-by-sap/sap-rpt-1-a-revolutionary-tabular-ml-model-and-owasp-ml-top-10-compliance/ba-p/14270750"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