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credit approvals to transform lending with real-time, personalised scoring by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Credit approvals are entering a transformative era as the traditional reliance on static credit scores and paper-based processes gives way to dynamic, AI-driven systems poised to reshape lending by 2026. For decades, loan underwriting hinged on manual document gathering, inflexible rules, and credit bureau scores, often resulting in slow decisions, opaque processes, and difficulties for applicants with limited credit histories. However, artificial intelligence is set to revolutionise this landscape, offering faster, more granular, and data-rich evaluations that respond in real time.</w:t>
      </w:r>
      <w:r/>
    </w:p>
    <w:p>
      <w:r/>
      <w:r>
        <w:t>Currently, AI is already easing some constraints by automating data extraction and preliminary scoring, enabling some lenders to reduce decision times from days to minutes. Machine learning models augment risk assessment by analysing transaction patterns and other signals beyond traditional credit reports. Yet these advances have mainly benefited specific lending segments, such as consumer instalment loans or digital small-business finance. The promise of 2026 lies in shifting from static credit scores to continuous, multifaceted risk profiles. These profiles will incorporate thousands of variables, tracking financial behaviours like income variability, overdraft usage, and account management over time, thus painting a more precise and evolving picture of creditworthiness.</w:t>
      </w:r>
      <w:r/>
    </w:p>
    <w:p>
      <w:r/>
      <w:r>
        <w:t>Central to this evolution is the expanded use of alternative data sources, rental payments, utility bills, telecom usage, e-commerce activity, and open banking feeds, that complement traditional credit bureau information. This integration enables lenders to assess borrowers who historically faced barriers due to thin or non-existent credit files, including younger adults, gig workers, and small firms in emerging markets. However, the broadening data scope raises significant concerns around transparency, consent, and data privacy. Borrowers may be unaware of how extensively their personal information influences lending decisions, amplifying regulatory scrutiny and heightening reputational risks for lenders.</w:t>
      </w:r>
      <w:r/>
    </w:p>
    <w:p>
      <w:r/>
      <w:r>
        <w:t>The complexity of AI models fuels a crucial demand for explainability. By 2026, this is expected to transcend research topics and become a core requirement, with lenders deploying tools that clarify which factors drive decisions and by what magnitude. Such transparency not only aligns with tightening regulations but also aids risk teams in detecting model issues early and adjusting underwriting policies preemptively.</w:t>
      </w:r>
      <w:r/>
    </w:p>
    <w:p>
      <w:r/>
      <w:r>
        <w:t>Automation will permeate the full lending journey, from identity verification and data retrieval through to real-time risk scoring and instant credit decisions, making near-instant approvals the norm for straightforward cases. Human underwriters will primarily focus on complex or borderline applications, shifting their role towards strategic oversight and emerging risk management. Additionally, AI’s role in fraud detection is becoming integral to underwriting, leveraging device fingerprints, behavioural biometrics, and transaction histories to flag suspicious behaviour adaptively rather than relying on static rules.</w:t>
      </w:r>
      <w:r/>
    </w:p>
    <w:p>
      <w:r/>
      <w:r>
        <w:t>Dynamic credit limits and pricing models powered by AI will replace traditional infrequent resets with more regular adjustments based on up-to-date borrower data and broader economic trends. While this responsiveness may benefit reliable customers with improved limits and rates, it also introduces challenges for transparency and borrower predictability, necessitating clear communication from lenders.</w:t>
      </w:r>
      <w:r/>
    </w:p>
    <w:p>
      <w:r/>
      <w:r>
        <w:t>Regulatory frameworks are tightening in tandem with technological advances. The European Union's AI Act designates AI credit scoring as a high-risk application, imposing stringent obligations on data quality, audit trails, human oversight, and transparency that banks and fintechs must meet around 2026. This regulatory environment is influencing global practices, as international institutions harmonise standards to streamline compliance. In the United States, regulators like the Consumer Financial Protection Bureau (CFPB) assert that AI-driven lending decisions must comply with fair lending laws, requiring detailed and understandable explanations for adverse actions rather than vague model-based rejections.</w:t>
      </w:r>
      <w:r/>
    </w:p>
    <w:p>
      <w:r/>
      <w:r>
        <w:t>Robust model risk management will become central to board governance, with lenders maintaining inventories of AI models and conducting regular performance and fairness testing. Supervisory bodies increasingly mandate human-in-the-loop controls to ensure responsible oversight for significant decisions, aiming to blend automation benefits with human judgment and accountability.</w:t>
      </w:r>
      <w:r/>
    </w:p>
    <w:p>
      <w:r/>
      <w:r>
        <w:t>From a consumer perspective, the impact will be most noticeable in the speed and convenience of loan applications, which will increasingly be mobile-first and integrated into everyday digital experiences. AI-enabled personalisation will tailor offers to individual financial behaviours and capacities, which can help align credit products better with borrower needs but also raises concerns about overly intrusive or opaque targeting practices. Enhanced borrower rights to understand and challenge automated decisions will become standard, potentially fostering greater trust and competitive differentiation for lenders who manage this well.</w:t>
      </w:r>
      <w:r/>
    </w:p>
    <w:p>
      <w:r/>
      <w:r>
        <w:t>Financial institutions face strategic choices in adapting to these changes. Many will decide between in-house AI development requiring substantial investment and governance, or purchasing third-party AI platforms offering faster deployment but necessitating vigilant oversight to understand model behaviours. Data partnerships, open banking, and ecosystem integration will be vital to enrich borrower insights but increase complexity in consent management and data security.</w:t>
      </w:r>
      <w:r/>
    </w:p>
    <w:p>
      <w:r/>
      <w:r>
        <w:t>The success of AI loan approval in 2026 hinges not only on technological innovation but also on embedding ethical practices, cross-disciplinary teams, and governance frameworks that prioritise fairness and inclusion. AI’s ability to incorporate alternative data has already shown promise in expanding credit access to underserved populations without increasing default rates, supporting financial inclusion goals. Yet, care must be taken to avoid perpetuating biases embedded in historical data or amplifying disparities.</w:t>
      </w:r>
      <w:r/>
    </w:p>
    <w:p>
      <w:r/>
      <w:r>
        <w:t>Post-launch, continuous monitoring and recalibration of AI models will be necessary to adapt to changing economic conditions and customer behaviours, ensuring sustained accuracy and fairness over time. The future of AI in lending will be defined by institutions’ capacity to balance innovation with transparency, accountability, and social responsibility.</w:t>
      </w:r>
      <w:r/>
    </w:p>
    <w:p>
      <w:r/>
      <w:r>
        <w:t>Ultimately, the emerging lending environment in 2026 will be defined by speed and personalisation, but above all, by trust. Borrowers will judge lenders not only on pricing and convenience but on how responsibly they manage data, explain decisions, and handle disputes. Regulators will expect consistent governance and genuine engagement with fairness standards. Those that successfully navigate this balance will set the tone for the next chapter of credit, shaping a financial ecosystem where AI enhances opportunity without compromising integrity.</w:t>
      </w:r>
      <w:r/>
    </w:p>
    <w:p>
      <w:pPr>
        <w:pStyle w:val="Heading3"/>
      </w:pPr>
      <w:r>
        <w:t>📌 Reference Map:</w:t>
      </w:r>
      <w:r/>
      <w:r/>
    </w:p>
    <w:p>
      <w:pPr>
        <w:pStyle w:val="ListBullet"/>
        <w:spacing w:line="240" w:lineRule="auto"/>
        <w:ind w:left="720"/>
      </w:pPr>
      <w:r/>
      <w:hyperlink r:id="rId9">
        <w:r>
          <w:rPr>
            <w:color w:val="0000EE"/>
            <w:u w:val="single"/>
          </w:rPr>
          <w:t>[1]</w:t>
        </w:r>
      </w:hyperlink>
      <w:r>
        <w:t xml:space="preserve"> editorialge.com – Paragraphs 1-12, 14-21, 23-26 </w:t>
      </w:r>
      <w:r/>
    </w:p>
    <w:p>
      <w:pPr>
        <w:pStyle w:val="ListBullet"/>
        <w:spacing w:line="240" w:lineRule="auto"/>
        <w:ind w:left="720"/>
      </w:pPr>
      <w:r/>
      <w:hyperlink r:id="rId10">
        <w:r>
          <w:rPr>
            <w:color w:val="0000EE"/>
            <w:u w:val="single"/>
          </w:rPr>
          <w:t>[2]</w:t>
        </w:r>
      </w:hyperlink>
      <w:r>
        <w:t xml:space="preserve"> arxiv.org – Paragraph 11 </w:t>
      </w:r>
      <w:r/>
    </w:p>
    <w:p>
      <w:pPr>
        <w:pStyle w:val="ListBullet"/>
        <w:spacing w:line="240" w:lineRule="auto"/>
        <w:ind w:left="720"/>
      </w:pPr>
      <w:r/>
      <w:hyperlink r:id="rId11">
        <w:r>
          <w:rPr>
            <w:color w:val="0000EE"/>
            <w:u w:val="single"/>
          </w:rPr>
          <w:t>[3]</w:t>
        </w:r>
      </w:hyperlink>
      <w:r>
        <w:t xml:space="preserve"> fintellectai.com – Paragraphs 4, 10-12, 19-20 </w:t>
      </w:r>
      <w:r/>
    </w:p>
    <w:p>
      <w:pPr>
        <w:pStyle w:val="ListBullet"/>
        <w:spacing w:line="240" w:lineRule="auto"/>
        <w:ind w:left="720"/>
      </w:pPr>
      <w:r/>
      <w:hyperlink r:id="rId12">
        <w:r>
          <w:rPr>
            <w:color w:val="0000EE"/>
            <w:u w:val="single"/>
          </w:rPr>
          <w:t>[4]</w:t>
        </w:r>
      </w:hyperlink>
      <w:r>
        <w:t xml:space="preserve"> financetechx.com – Paragraphs 7-8, 10-12 </w:t>
      </w:r>
      <w:r/>
    </w:p>
    <w:p>
      <w:pPr>
        <w:pStyle w:val="ListBullet"/>
        <w:spacing w:line="240" w:lineRule="auto"/>
        <w:ind w:left="720"/>
      </w:pPr>
      <w:r/>
      <w:hyperlink r:id="rId13">
        <w:r>
          <w:rPr>
            <w:color w:val="0000EE"/>
            <w:u w:val="single"/>
          </w:rPr>
          <w:t>[5]</w:t>
        </w:r>
      </w:hyperlink>
      <w:r>
        <w:t xml:space="preserve"> bankingsupervision.europa.eu – Paragraphs 4-5 </w:t>
      </w:r>
      <w:r/>
    </w:p>
    <w:p>
      <w:pPr>
        <w:pStyle w:val="ListBullet"/>
        <w:spacing w:line="240" w:lineRule="auto"/>
        <w:ind w:left="720"/>
      </w:pPr>
      <w:r/>
      <w:hyperlink r:id="rId14">
        <w:r>
          <w:rPr>
            <w:color w:val="0000EE"/>
            <w:u w:val="single"/>
          </w:rPr>
          <w:t>[6]</w:t>
        </w:r>
      </w:hyperlink>
      <w:r>
        <w:t xml:space="preserve"> regulations.gov – Paragraph 11 </w:t>
      </w:r>
      <w:r/>
    </w:p>
    <w:p>
      <w:pPr>
        <w:pStyle w:val="ListBullet"/>
        <w:spacing w:line="240" w:lineRule="auto"/>
        <w:ind w:left="720"/>
      </w:pPr>
      <w:r/>
      <w:hyperlink r:id="rId15">
        <w:r>
          <w:rPr>
            <w:color w:val="0000EE"/>
            <w:u w:val="single"/>
          </w:rPr>
          <w:t>[7]</w:t>
        </w:r>
      </w:hyperlink>
      <w:r>
        <w:t xml:space="preserve"> congress.gov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https://editorialge.com/ai-loan-approval-2026/</w:t>
        </w:r>
      </w:hyperlink>
      <w:r>
        <w:t xml:space="preserve"> - Please view link - unable to able to access data</w:t>
      </w:r>
      <w:r/>
    </w:p>
    <w:p>
      <w:pPr>
        <w:pStyle w:val="ListNumber"/>
        <w:spacing w:line="240" w:lineRule="auto"/>
        <w:ind w:left="720"/>
      </w:pPr>
      <w:r/>
      <w:hyperlink r:id="rId10">
        <w:r>
          <w:rPr>
            <w:color w:val="0000EE"/>
            <w:u w:val="single"/>
          </w:rPr>
          <w:t>https://arxiv.org/abs/2511.08588</w:t>
        </w:r>
      </w:hyperlink>
      <w:r>
        <w:t xml:space="preserve"> - This study introduces the first application of federated learning to the U.S. National Financial Capability Study, creating an interpretable framework for predicting consumer financial distress across all 50 states and the District of Columbia without centralising sensitive data. The approach integrates two complementary explainable AI techniques to identify both global and local predictors of financial hardship, such as contact from debt collection agencies. The research delivers a scalable, regulation-compliant blueprint for early warning systems in finance, demonstrating how federated learning can power socially responsible AI applications in consumer credit risk and financial inclusion.</w:t>
      </w:r>
      <w:r/>
    </w:p>
    <w:p>
      <w:pPr>
        <w:pStyle w:val="ListNumber"/>
        <w:spacing w:line="240" w:lineRule="auto"/>
        <w:ind w:left="720"/>
      </w:pPr>
      <w:r/>
      <w:hyperlink r:id="rId11">
        <w:r>
          <w:rPr>
            <w:color w:val="0000EE"/>
            <w:u w:val="single"/>
          </w:rPr>
          <w:t>https://www.fintellectai.com/smarter-credit-how-ai-is-teaching-finance-to-predict-risk-fairly</w:t>
        </w:r>
      </w:hyperlink>
      <w:r>
        <w:t xml:space="preserve"> - This article discusses the impact of AI on credit scoring, highlighting how machine learning models can enhance accuracy through advanced predictive analytics and a greater ability to tailor offers to individuals. It also addresses the regulatory landscape, noting that in Europe, the GDPR and the AI Act—expected to be fully enforced by 2026—are setting stricter rules for explainability and data governance. The piece underscores the importance of building transparent and explainable AI systems to ensure fairness and compliance in financial services.</w:t>
      </w:r>
      <w:r/>
    </w:p>
    <w:p>
      <w:pPr>
        <w:pStyle w:val="ListNumber"/>
        <w:spacing w:line="240" w:lineRule="auto"/>
        <w:ind w:left="720"/>
      </w:pPr>
      <w:r/>
      <w:hyperlink r:id="rId12">
        <w:r>
          <w:rPr>
            <w:color w:val="0000EE"/>
            <w:u w:val="single"/>
          </w:rPr>
          <w:t>https://financetechx.com/ai-in-credit-scoring-risks-rewards-and-the-path-to-fairness.html</w:t>
        </w:r>
      </w:hyperlink>
      <w:r>
        <w:t xml:space="preserve"> - This article examines the global regulatory landscape concerning AI in credit scoring, noting that in the U.S., AI in credit scoring is subject to the Equal Credit Opportunity Act (ECOA) and the Fair Credit Reporting Act (FCRA), both of which require lenders to avoid discrimination and provide adverse action notices to rejected applicants. In Europe, the GDPR and the AI Act—expected to be fully enforced by 2026—are setting stricter rules for explainability and data governance. The piece also discusses the importance of building transparent and explainable AI systems to ensure fairness and compliance in financial services.</w:t>
      </w:r>
      <w:r/>
    </w:p>
    <w:p>
      <w:pPr>
        <w:pStyle w:val="ListNumber"/>
        <w:spacing w:line="240" w:lineRule="auto"/>
        <w:ind w:left="720"/>
      </w:pPr>
      <w:r/>
      <w:hyperlink r:id="rId13">
        <w:r>
          <w:rPr>
            <w:color w:val="0000EE"/>
            <w:u w:val="single"/>
          </w:rPr>
          <w:t>https://www.bankingsupervision.europa.eu/press/supervisory-newsletters/newsletter/2025/html/ssm.nl251120_1.en.html</w:t>
        </w:r>
      </w:hyperlink>
      <w:r>
        <w:t xml:space="preserve"> - This newsletter from the European Central Bank discusses the use of AI in banking, particularly in credit scoring and fraud detection. It highlights that banks using AI see clear business benefits from improved model performance, including greater process efficiency and better customer service. In credit scoring, AI models enhance accuracy through advanced predictive analytics and a greater ability to tailor offers to individuals. In fraud detection, AI models enhance real-time monitoring and pattern recognition, allowing banks to identify suspicious activity and stop fraud before it happens.</w:t>
      </w:r>
      <w:r/>
    </w:p>
    <w:p>
      <w:pPr>
        <w:pStyle w:val="ListNumber"/>
        <w:spacing w:line="240" w:lineRule="auto"/>
        <w:ind w:left="720"/>
      </w:pPr>
      <w:r/>
      <w:hyperlink r:id="rId14">
        <w:r>
          <w:rPr>
            <w:color w:val="0000EE"/>
            <w:u w:val="single"/>
          </w:rPr>
          <w:t>https://downloads.regulations.gov/TREAS-DO-2024-0011-0052/attachment_1.pdf</w:t>
        </w:r>
      </w:hyperlink>
      <w:r>
        <w:t xml:space="preserve"> - This document discusses the role of AI in improving fair lending practices within financial institutions. It notes that AI has been pivotal in advancing fair lending practices by analyzing a wide range of non-traditional data sources—such as utility payments, rental histories, and social media activity—to assess creditworthiness more comprehensively. This approach reduces biases inherent in traditional credit scoring methods, which often disadvantage certain demographic groups. The document also highlights that AI-driven credit scoring models have demonstrated increased loan approval rates for underserved populations without a corresponding increase in default rates, promoting financial inclusion.</w:t>
      </w:r>
      <w:r/>
    </w:p>
    <w:p>
      <w:pPr>
        <w:pStyle w:val="ListNumber"/>
        <w:spacing w:line="240" w:lineRule="auto"/>
        <w:ind w:left="720"/>
      </w:pPr>
      <w:r/>
      <w:hyperlink r:id="rId15">
        <w:r>
          <w:rPr>
            <w:color w:val="0000EE"/>
            <w:u w:val="single"/>
          </w:rPr>
          <w:t>https://www.congress.gov/crs-product/IF12399</w:t>
        </w:r>
      </w:hyperlink>
      <w:r>
        <w:t xml:space="preserve"> - This Congressional Research Service report examines the use of artificial intelligence (AI) and machine learning (ML) in consumer lending. It discusses concerns about algorithmic bias and fair lending, noting that ML models may have training data biases, which is when a model has biases due to the limited or flawed dataset it was developed on. Historical data can reflect historical biases, potentially creating models that discriminate against protected classes. The report also discusses the Equal Credit Opportunity Act (ECOA) and the Fair Credit Reporting Act (FCRA), which generally prohibit discrimination in credit transactions based upon certain protected classes, including sex, race, color, national origin, religion, marital status, age, and "because all or part of the applicant's income derives from any public assistance program.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ai-loan-approval-2026/" TargetMode="External"/><Relationship Id="rId10" Type="http://schemas.openxmlformats.org/officeDocument/2006/relationships/hyperlink" Target="https://arxiv.org/abs/2511.08588" TargetMode="External"/><Relationship Id="rId11" Type="http://schemas.openxmlformats.org/officeDocument/2006/relationships/hyperlink" Target="https://www.fintellectai.com/smarter-credit-how-ai-is-teaching-finance-to-predict-risk-fairly" TargetMode="External"/><Relationship Id="rId12" Type="http://schemas.openxmlformats.org/officeDocument/2006/relationships/hyperlink" Target="https://financetechx.com/ai-in-credit-scoring-risks-rewards-and-the-path-to-fairness.html" TargetMode="External"/><Relationship Id="rId13" Type="http://schemas.openxmlformats.org/officeDocument/2006/relationships/hyperlink" Target="https://www.bankingsupervision.europa.eu/press/supervisory-newsletters/newsletter/2025/html/ssm.nl251120_1.en.html" TargetMode="External"/><Relationship Id="rId14" Type="http://schemas.openxmlformats.org/officeDocument/2006/relationships/hyperlink" Target="https://downloads.regulations.gov/TREAS-DO-2024-0011-0052/attachment_1.pdf" TargetMode="External"/><Relationship Id="rId15" Type="http://schemas.openxmlformats.org/officeDocument/2006/relationships/hyperlink" Target="https://www.congress.gov/crs-product/IF1239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