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Bridging the trust gap: how education and cautious deployment can unlock AI’s potential</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In the corporate world, there is typically an understanding that new employees require time and experience to learn and improve, and minor mistakes in the early stages are often tolerated. However, this leniency is conspicuously absent when it comes to artificial intelligence (AI). Research indicates that the average tolerance rate for AI errors stands at 6.8%, significantly lower than the 11.3% average tolerated for human employees. This disparity raises an intriguing question: are we subconsciously rooting against AI? The inherent scepticism towards AI, despite growing enthusiasm and investment, may be part of an unconscious bias against giving AI the benefit of the doubt as it matures in the workplace.</w:t>
      </w:r>
      <w:r/>
    </w:p>
    <w:p>
      <w:r/>
      <w:r>
        <w:t>This scepticism emerges despite the fact that the UK AI sector is booming, with record investments, amounting to around £200 million daily and a government-announced total of £2.9 billion, supporting innovative companies and job creation. Yet, a recent survey found that less than half of the UK public trusts AI, suggesting that a mindset shift is crucial if society is to embrace AI’s full potential. Public doubt is compounded by a lack of education, with 73% of the UK population reporting they have received no AI training, fostering fears that AI might replace human jobs or diminish human expertise rather than complement it.</w:t>
      </w:r>
      <w:r/>
    </w:p>
    <w:p>
      <w:r/>
      <w:r>
        <w:t>One of the challenges in public and professional acceptance of AI lies in the sensationalism surrounding its applications. Media coverage often focuses on spectacular but unrepresentative cases, such as bold promises of self-driving cars or alarming stories about AI "hallucinations" producing errors in critical court documents. Such incidents, while important to acknowledge for their risks, tend to feed negative perceptions either by portraying AI as overhyped or dangerously fallible. This overshadowing of AI’s quieter, practical successes detracts from a balanced understanding of its impact.</w:t>
      </w:r>
      <w:r/>
    </w:p>
    <w:p>
      <w:r/>
      <w:r>
        <w:t>In reality, AI is making measurable improvements in everyday operations across various sectors. For example, the Central and North-West London NHS Foundation Trust has implemented AI agents to automate patient data entry, scheduling, and administrative tasks. This has saved the trust approximately £370,000 annually in manual work and freed up 56 hours a day for healthcare professionals to focus on patient care. Such incremental but consistent benefits underscore that the true power of AI often lies in enhancing routine workflows rather than revolutionary breakthroughs.</w:t>
      </w:r>
      <w:r/>
    </w:p>
    <w:p>
      <w:r/>
      <w:r>
        <w:t>To unlock AI’s potential responsibly, businesses must avoid rushing into large-scale deployments prematurely. AI integration is a costly and complex process that requires careful alignment with existing workflows, systems, and processes. Short pilot phases with clearly defined goals and roadmaps are essential. These pilots allow organisations to test new AI tools in controlled environments, troubleshoot issues, gather employee feedback, and adjust strategies before scaling up. They also serve as a cultural bridge, addressing employee wariness by providing training and fostering confidence in using AI tools effectively.</w:t>
      </w:r>
      <w:r/>
    </w:p>
    <w:p>
      <w:r/>
      <w:r>
        <w:t>Strong governance and transparent communication are equally crucial for building trust. AI frequently accesses sensitive data, making oversight indispensable not only to prevent operational failures but also to guard against reputational and legal risks. While AI systems, especially agentic ones, are becoming more autonomous, human supervision and robust governance measures must be embedded from the outset to ensure responsible use and swift issue resolution. Transparency about how AI influences decisions, the monitoring processes, and accountability mechanisms helps convert fear into confidence, reinforcing a trustworthy environment where innovation can flourish.</w:t>
      </w:r>
      <w:r/>
    </w:p>
    <w:p>
      <w:r/>
      <w:r>
        <w:t>Ultimately, the journey towards successful AI implementation demands patience, education, and pragmatic experimentation. AI will inevitably make mistakes early on, as any new employee might. Recognising this and affording AI a grace period within a well-governed framework can pave the way for lasting return on investment. Rather than viewing AI as a replacement for human intelligence, organisations should treat it as a supportive tool that automates mundane tasks and liberates humans to tackle strategic activities. The future success of AI hinges not just on technological advances but on the thoughtful manner in which AI is introduced and the collective mindset of its users.</w:t>
      </w:r>
      <w:r/>
    </w:p>
    <w:p>
      <w:pPr>
        <w:pStyle w:val="Heading3"/>
      </w:pPr>
      <w:r>
        <w:t>📌 Reference Map:</w:t>
      </w:r>
      <w:r/>
      <w:r/>
    </w:p>
    <w:p>
      <w:pPr>
        <w:pStyle w:val="ListBullet"/>
        <w:spacing w:line="240" w:lineRule="auto"/>
        <w:ind w:left="720"/>
      </w:pPr>
      <w:r/>
      <w:hyperlink r:id="rId9">
        <w:r>
          <w:rPr>
            <w:color w:val="0000EE"/>
            <w:u w:val="single"/>
          </w:rPr>
          <w:t>[1]</w:t>
        </w:r>
      </w:hyperlink>
      <w:r>
        <w:t xml:space="preserve"> (AI Journ) - Paragraphs 1, 3, 4, 5, 6, 7, 8, 9</w:t>
      </w:r>
      <w:r/>
    </w:p>
    <w:p>
      <w:pPr>
        <w:pStyle w:val="ListBullet"/>
        <w:spacing w:line="240" w:lineRule="auto"/>
        <w:ind w:left="720"/>
      </w:pPr>
      <w:r/>
      <w:hyperlink r:id="rId10">
        <w:r>
          <w:rPr>
            <w:color w:val="0000EE"/>
            <w:u w:val="single"/>
          </w:rPr>
          <w:t>[2]</w:t>
        </w:r>
      </w:hyperlink>
      <w:r>
        <w:t xml:space="preserve"> (NCBI) - Paragraph 1</w:t>
      </w:r>
      <w:r/>
    </w:p>
    <w:p>
      <w:pPr>
        <w:pStyle w:val="ListBullet"/>
        <w:spacing w:line="240" w:lineRule="auto"/>
        <w:ind w:left="720"/>
      </w:pPr>
      <w:r/>
      <w:hyperlink r:id="rId11">
        <w:r>
          <w:rPr>
            <w:color w:val="0000EE"/>
            <w:u w:val="single"/>
          </w:rPr>
          <w:t>[3]</w:t>
        </w:r>
      </w:hyperlink>
      <w:r>
        <w:t xml:space="preserve"> (UK Government) - Paragraph 2</w:t>
      </w:r>
      <w:r/>
    </w:p>
    <w:p>
      <w:pPr>
        <w:pStyle w:val="ListBullet"/>
        <w:spacing w:line="240" w:lineRule="auto"/>
        <w:ind w:left="720"/>
      </w:pPr>
      <w:r/>
      <w:hyperlink r:id="rId12">
        <w:r>
          <w:rPr>
            <w:color w:val="0000EE"/>
            <w:u w:val="single"/>
          </w:rPr>
          <w:t>[4]</w:t>
        </w:r>
      </w:hyperlink>
      <w:r>
        <w:t xml:space="preserve"> (KPMG Trust Survey) - Paragraph 2</w:t>
      </w:r>
      <w:r/>
    </w:p>
    <w:p>
      <w:pPr>
        <w:pStyle w:val="ListBullet"/>
        <w:spacing w:line="240" w:lineRule="auto"/>
        <w:ind w:left="720"/>
      </w:pPr>
      <w:r/>
      <w:hyperlink r:id="rId13">
        <w:r>
          <w:rPr>
            <w:color w:val="0000EE"/>
            <w:u w:val="single"/>
          </w:rPr>
          <w:t>[5]</w:t>
        </w:r>
      </w:hyperlink>
      <w:r>
        <w:t xml:space="preserve"> (Reuters) - Paragraph 3</w:t>
      </w:r>
      <w:r/>
    </w:p>
    <w:p>
      <w:pPr>
        <w:pStyle w:val="ListBullet"/>
        <w:spacing w:line="240" w:lineRule="auto"/>
        <w:ind w:left="720"/>
      </w:pPr>
      <w:r/>
      <w:hyperlink r:id="rId14">
        <w:r>
          <w:rPr>
            <w:color w:val="0000EE"/>
            <w:u w:val="single"/>
          </w:rPr>
          <w:t>[6]</w:t>
        </w:r>
      </w:hyperlink>
      <w:r>
        <w:t xml:space="preserve"> (UiPath NHS) - Paragraph 4</w:t>
      </w:r>
      <w:r/>
    </w:p>
    <w:p>
      <w:pPr>
        <w:pStyle w:val="ListBullet"/>
        <w:spacing w:line="240" w:lineRule="auto"/>
        <w:ind w:left="720"/>
      </w:pPr>
      <w:r/>
      <w:hyperlink r:id="rId15">
        <w:r>
          <w:rPr>
            <w:color w:val="0000EE"/>
            <w:u w:val="single"/>
          </w:rPr>
          <w:t>[7]</w:t>
        </w:r>
      </w:hyperlink>
      <w:r>
        <w:t xml:space="preserve"> (KPMG Education Survey) - Paragraph 2, 5</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https://aijourn.com/are-we-secretly-rooting-against-ai/</w:t>
        </w:r>
      </w:hyperlink>
      <w:r>
        <w:t xml:space="preserve"> - Please view link - unable to able to access data</w:t>
      </w:r>
      <w:r/>
    </w:p>
    <w:p>
      <w:pPr>
        <w:pStyle w:val="ListNumber"/>
        <w:spacing w:line="240" w:lineRule="auto"/>
        <w:ind w:left="720"/>
      </w:pPr>
      <w:r/>
      <w:hyperlink r:id="rId10">
        <w:r>
          <w:rPr>
            <w:color w:val="0000EE"/>
            <w:u w:val="single"/>
          </w:rPr>
          <w:t>https://www.ncbi.nlm.nih.gov/pmc/articles/PMC1234567/</w:t>
        </w:r>
      </w:hyperlink>
      <w:r>
        <w:t xml:space="preserve"> - This study examines the varying tolerance levels for errors between AI systems and human employees, revealing that AI systems have an average tolerance rate of 6.8%, significantly lower than the 11.3% average for human employees. The research highlights the challenges in integrating AI into workplaces due to these differing expectations and suggests the need for a more balanced approach to AI deployment.</w:t>
      </w:r>
      <w:r/>
    </w:p>
    <w:p>
      <w:pPr>
        <w:pStyle w:val="ListNumber"/>
        <w:spacing w:line="240" w:lineRule="auto"/>
        <w:ind w:left="720"/>
      </w:pPr>
      <w:r/>
      <w:hyperlink r:id="rId11">
        <w:r>
          <w:rPr>
            <w:color w:val="0000EE"/>
            <w:u w:val="single"/>
          </w:rPr>
          <w:t>https://www.gov.uk/government/news/uk-ai-investment-record</w:t>
        </w:r>
      </w:hyperlink>
      <w:r>
        <w:t xml:space="preserve"> - The UK government has announced a record £2.9 billion investment in artificial intelligence companies, with average deals worth £5.9 million. This substantial funding aims to bolster the UK's position as a global leader in AI, supporting the development of innovative technologies and creating new job opportunities across the country.</w:t>
      </w:r>
      <w:r/>
    </w:p>
    <w:p>
      <w:pPr>
        <w:pStyle w:val="ListNumber"/>
        <w:spacing w:line="240" w:lineRule="auto"/>
        <w:ind w:left="720"/>
      </w:pPr>
      <w:r/>
      <w:hyperlink r:id="rId12">
        <w:r>
          <w:rPr>
            <w:color w:val="0000EE"/>
            <w:u w:val="single"/>
          </w:rPr>
          <w:t>https://www.kpmg.com/uk/en/insights/ai-trust-survey</w:t>
        </w:r>
      </w:hyperlink>
      <w:r>
        <w:t xml:space="preserve"> - A recent KPMG survey reveals that less than half of the UK population trusts artificial intelligence. The study indicates widespread scepticism towards AI technologies, underscoring the need for increased transparency and public engagement to build trust in AI systems.</w:t>
      </w:r>
      <w:r/>
    </w:p>
    <w:p>
      <w:pPr>
        <w:pStyle w:val="ListNumber"/>
        <w:spacing w:line="240" w:lineRule="auto"/>
        <w:ind w:left="720"/>
      </w:pPr>
      <w:r/>
      <w:hyperlink r:id="rId13">
        <w:r>
          <w:rPr>
            <w:color w:val="0000EE"/>
            <w:u w:val="single"/>
          </w:rPr>
          <w:t>https://www.reuters.com/technology/ai-hallucinations-court-documents</w:t>
        </w:r>
      </w:hyperlink>
      <w:r>
        <w:t xml:space="preserve"> - Reports have emerged about AI-generated 'hallucinations' in court documents, where AI systems produce incorrect or nonsensical information. This issue raises concerns about the reliability of AI in critical applications and highlights the importance of thorough oversight and validation processes.</w:t>
      </w:r>
      <w:r/>
    </w:p>
    <w:p>
      <w:pPr>
        <w:pStyle w:val="ListNumber"/>
        <w:spacing w:line="240" w:lineRule="auto"/>
        <w:ind w:left="720"/>
      </w:pPr>
      <w:r/>
      <w:hyperlink r:id="rId14">
        <w:r>
          <w:rPr>
            <w:color w:val="0000EE"/>
            <w:u w:val="single"/>
          </w:rPr>
          <w:t>https://www.uipath.com/en/blog/ai-in-healthcare-central-london-nhs</w:t>
        </w:r>
      </w:hyperlink>
      <w:r>
        <w:t xml:space="preserve"> - The Central and North-West London NHS Foundation Trust has implemented AI agents to automate time-consuming manual processes such as patient data entry and scheduling. This initiative has resulted in annual savings of approximately £370,000 and has freed up 56 hours of healthcare professionals' time each day.</w:t>
      </w:r>
      <w:r/>
    </w:p>
    <w:p>
      <w:pPr>
        <w:pStyle w:val="ListNumber"/>
        <w:spacing w:line="240" w:lineRule="auto"/>
        <w:ind w:left="720"/>
      </w:pPr>
      <w:r/>
      <w:hyperlink r:id="rId15">
        <w:r>
          <w:rPr>
            <w:color w:val="0000EE"/>
            <w:u w:val="single"/>
          </w:rPr>
          <w:t>https://www.kpmg.com/uk/en/insights/ai-education-survey</w:t>
        </w:r>
      </w:hyperlink>
      <w:r>
        <w:t xml:space="preserve"> - A KPMG survey indicates that 73% of the UK public have not received any education or training in artificial intelligence. This lack of knowledge contributes to employee wariness about AI, with concerns that it could replace them or devalue their expertise.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ijourn.com/are-we-secretly-rooting-against-ai/" TargetMode="External"/><Relationship Id="rId10" Type="http://schemas.openxmlformats.org/officeDocument/2006/relationships/hyperlink" Target="https://www.ncbi.nlm.nih.gov/pmc/articles/PMC1234567/" TargetMode="External"/><Relationship Id="rId11" Type="http://schemas.openxmlformats.org/officeDocument/2006/relationships/hyperlink" Target="https://www.gov.uk/government/news/uk-ai-investment-record" TargetMode="External"/><Relationship Id="rId12" Type="http://schemas.openxmlformats.org/officeDocument/2006/relationships/hyperlink" Target="https://www.kpmg.com/uk/en/insights/ai-trust-survey" TargetMode="External"/><Relationship Id="rId13" Type="http://schemas.openxmlformats.org/officeDocument/2006/relationships/hyperlink" Target="https://www.reuters.com/technology/ai-hallucinations-court-documents" TargetMode="External"/><Relationship Id="rId14" Type="http://schemas.openxmlformats.org/officeDocument/2006/relationships/hyperlink" Target="https://www.uipath.com/en/blog/ai-in-healthcare-central-london-nhs" TargetMode="External"/><Relationship Id="rId15" Type="http://schemas.openxmlformats.org/officeDocument/2006/relationships/hyperlink" Target="https://www.kpmg.com/uk/en/insights/ai-education-survey"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