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mimics Nvidia with innovative financial strategy to challenge AI hardware dominance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At the forefront of the AI hardware landscape, a subtle yet significant financial revolution is unfolding, with Google adopting a strategy remarkably akin to that pioneered by Nvidia, the current market leader. This shift was highlighted in a recent report detailing how Google is leveraging its balance sheet and formidable credit rating to finance the expansion of its Tensor Processing Unit (TPU) ecosystem, aiming to carve out a larger share of the AI data centre market traditionally dominated by Nvidia's GPUs.</w:t>
      </w:r>
      <w:r/>
    </w:p>
    <w:p>
      <w:r/>
      <w:r>
        <w:t>For years, Nvidia has held a near-monopoly as the preferred chip supplier for AI computing needs, backed by sophisticated financial arrangements such as lease backstops for its GPUs. Google's strategy, however, is evolving beyond mere product sales. It now acts as a financier and insurer in deals that facilitate the construction of TPU-ready data centres. A standout example is Google's role in a deal involving bitcoin miner TeraWulf and AI cloud platform Fluidstack. Unable to secure billions in funding through traditional lenders due to startup credit constraints, Fluidstack's lease obligations, totaling $1.8 billion, have been backstopped by Google’s AA+ credit rating. This support unlocks significant debt financing at favourable rates, while Google secures warrants that could convert to an 8% stake in TeraWulf. This arrangement exemplifies an innovative "vendor financing" model, reminiscent of methods once mainly seen in aircraft manufacturing, where the chipmaker effectively finances the infrastructure that, in turn, drives demand for its chips.</w:t>
      </w:r>
      <w:r/>
    </w:p>
    <w:p>
      <w:r/>
      <w:r>
        <w:t>This approach grants Google a dual advantage: deployment of TPUs in client-operated facilities and control over capacity risk should startups fail, shifting the financial burden and risks onto itself. Consequently, investors are increasingly recognising Google's emergence as a credible alternative to Nvidia in the AI hardware arena.</w:t>
      </w:r>
      <w:r/>
    </w:p>
    <w:p>
      <w:r/>
      <w:r>
        <w:t>This shift comes amid reported talks between Meta Platforms and Google, potentially marking a significant new chapter in the chip landscape. Meta, a major Nvidia customer seeking cost efficiencies and supply diversification, is reportedly considering investing billions into Google's TPUs for its data centres beginning in 2027. Furthermore, Meta might start renting Google's TPUs through Google Cloud as early as next year, expanding Google's chip business beyond its internal data centre use and stepping more firmly into Nvidia's territory.</w:t>
      </w:r>
      <w:r/>
    </w:p>
    <w:p>
      <w:r/>
      <w:r>
        <w:t>On the infrastructure front, the partnership between TeraWulf and Fluidstack has crystallised into substantial commercial agreements. They have signed long-term colocation deals exceeding 200 megawatts of critical IT load at TeraWulf’s Lake Mariner campus in New York, with contracted revenue of upwards of $3.7 billion, potentially rising to $8.7 billion with extensions. A subsequent expansion added a further 168 MW via a 25-year lease valued at approximately $9.5 billion in contracted revenue at TeraWulf's Abernathy, Texas campus. Google underwrites significant portions of these lease obligations, backing $1.3 billion in one deal and increasing its equity stake in TeraWulf as it deepens its commitment.</w:t>
      </w:r>
      <w:r/>
    </w:p>
    <w:p>
      <w:r/>
      <w:r>
        <w:t>Further reinforcing this trend, Fluidstack exercised an option to lease an additional 160 MW at the Lake Mariner facility, pushing the total contracted IT load with Fluidstack to 360 MW. Google correspondingly increased its financial backstop to $3.2 billion and boosted its equity interest in TeraWulf to around 14%. These developments illustrate not only aggressive capacity expansion but also Google's growing financial entanglement in AI infrastructure , securing future demand for its TPU chips by backstopping the facilities themselves.</w:t>
      </w:r>
      <w:r/>
    </w:p>
    <w:p>
      <w:r/>
      <w:r>
        <w:t>The financial dimensions of these AI infrastructure deals reflect broader market anxieties. Wall Street has witnessed an unprecedented surge in borrowing by hyperscalers like Amazon, Alphabet (Google's parent company), Meta, and Oracle, with over $75 billion in investment-grade bonds sold since September, surpassing issuance levels of the previous three years combined. This influx of debt is causing US investment-grade credit spreads to widen to their highest levels since June, signalling that even traditionally cautious bond investors are growing wary of the financial load carried by AI expansion efforts.</w:t>
      </w:r>
      <w:r/>
    </w:p>
    <w:p>
      <w:r/>
      <w:r>
        <w:t>While stock markets already grapple with lofty AI company valuations, the debt markets' increasing caution serves as a reminder that behind the AI gold rush lies complex financial engineering and risk-taking. Both Google and Nvidia, beyond competing on chip speed and technology, are locked in a contest to master the financing mechanisms that will underpin AI's infrastructural future. Google's recent moves and partnerships underscore this strategic evolution, potentially reshaping the competitive dynamics of AI hardware provision and the broader ecosystem of AI compute finance.</w:t>
      </w:r>
      <w:r/>
    </w:p>
    <w:p>
      <w:pPr>
        <w:pStyle w:val="Heading3"/>
      </w:pPr>
      <w:r>
        <w:t>📌 Reference Map:</w:t>
      </w:r>
      <w:r/>
      <w:r/>
    </w:p>
    <w:p>
      <w:pPr>
        <w:pStyle w:val="ListBullet"/>
        <w:spacing w:line="240" w:lineRule="auto"/>
        <w:ind w:left="720"/>
      </w:pPr>
      <w:r/>
      <w:hyperlink r:id="rId9">
        <w:r>
          <w:rPr>
            <w:color w:val="0000EE"/>
            <w:u w:val="single"/>
          </w:rPr>
          <w:t>[1]</w:t>
        </w:r>
      </w:hyperlink>
      <w:r>
        <w:t xml:space="preserve"> (TradingView/Reuters) - Paragraphs 1-8, 10-12 </w:t>
      </w:r>
      <w:r/>
    </w:p>
    <w:p>
      <w:pPr>
        <w:pStyle w:val="ListBullet"/>
        <w:spacing w:line="240" w:lineRule="auto"/>
        <w:ind w:left="720"/>
      </w:pPr>
      <w:r/>
      <w:hyperlink r:id="rId10">
        <w:r>
          <w:rPr>
            <w:color w:val="0000EE"/>
            <w:u w:val="single"/>
          </w:rPr>
          <w:t>[2]</w:t>
        </w:r>
      </w:hyperlink>
      <w:r>
        <w:t xml:space="preserve"> (Reuters) - Paragraph 4 </w:t>
      </w:r>
      <w:r/>
    </w:p>
    <w:p>
      <w:pPr>
        <w:pStyle w:val="ListBullet"/>
        <w:spacing w:line="240" w:lineRule="auto"/>
        <w:ind w:left="720"/>
      </w:pPr>
      <w:r/>
      <w:hyperlink r:id="rId11">
        <w:r>
          <w:rPr>
            <w:color w:val="0000EE"/>
            <w:u w:val="single"/>
          </w:rPr>
          <w:t>[3]</w:t>
        </w:r>
      </w:hyperlink>
      <w:r>
        <w:t xml:space="preserve"> (Yahoo Finance) - Paragraph 5 </w:t>
      </w:r>
      <w:r/>
    </w:p>
    <w:p>
      <w:pPr>
        <w:pStyle w:val="ListBullet"/>
        <w:spacing w:line="240" w:lineRule="auto"/>
        <w:ind w:left="720"/>
      </w:pPr>
      <w:r/>
      <w:hyperlink r:id="rId12">
        <w:r>
          <w:rPr>
            <w:color w:val="0000EE"/>
            <w:u w:val="single"/>
          </w:rPr>
          <w:t>[4]</w:t>
        </w:r>
      </w:hyperlink>
      <w:r>
        <w:t xml:space="preserve"> (TeraWulf Investors) - Paragraph 6 </w:t>
      </w:r>
      <w:r/>
    </w:p>
    <w:p>
      <w:pPr>
        <w:pStyle w:val="ListBullet"/>
        <w:spacing w:line="240" w:lineRule="auto"/>
        <w:ind w:left="720"/>
      </w:pPr>
      <w:r/>
      <w:hyperlink r:id="rId13">
        <w:r>
          <w:rPr>
            <w:color w:val="0000EE"/>
            <w:u w:val="single"/>
          </w:rPr>
          <w:t>[5]</w:t>
        </w:r>
      </w:hyperlink>
      <w:r>
        <w:t xml:space="preserve"> (CoinDesk) - Paragraph 7 </w:t>
      </w:r>
      <w:r/>
    </w:p>
    <w:p>
      <w:pPr>
        <w:pStyle w:val="ListBullet"/>
        <w:spacing w:line="240" w:lineRule="auto"/>
        <w:ind w:left="720"/>
      </w:pPr>
      <w:r/>
      <w:hyperlink r:id="rId14">
        <w:r>
          <w:rPr>
            <w:color w:val="0000EE"/>
            <w:u w:val="single"/>
          </w:rPr>
          <w:t>[6]</w:t>
        </w:r>
      </w:hyperlink>
      <w:r>
        <w:t xml:space="preserve"> (Data Center Dynamics) - Paragraph 8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https://www.tradingview.com/news/reuters.com,2025:newsml_L1N3X20OK:0-how-google-is-borrowing-nvidia-s-playbook/</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https://www.reuters.com/business/meta-talks-spend-billions-googles-chips-information-reports-2025-11-25/</w:t>
        </w:r>
      </w:hyperlink>
      <w:r>
        <w:t xml:space="preserve"> - Meta Platforms is reportedly in discussions with Google to invest billions of dollars in Google's tensor processing units (TPUs) for its data centres starting in 2027. This move would position Google as a direct competitor to Nvidia in the AI hardware market, as Meta, a significant Nvidia customer, seeks alternatives due to cost and supply constraints. The deal could also involve Meta renting Google's TPUs via Google Cloud as early as next year, marking a significant expansion of Google's chip business beyond its own data centres. (</w:t>
      </w:r>
      <w:hyperlink r:id="rId16">
        <w:r>
          <w:rPr>
            <w:color w:val="0000EE"/>
            <w:u w:val="single"/>
          </w:rPr>
          <w:t>reuters.com</w:t>
        </w:r>
      </w:hyperlink>
      <w:r>
        <w:t>)</w:t>
      </w:r>
      <w:r/>
    </w:p>
    <w:p>
      <w:pPr>
        <w:pStyle w:val="ListNumber"/>
        <w:spacing w:line="240" w:lineRule="auto"/>
        <w:ind w:left="720"/>
      </w:pPr>
      <w:r/>
      <w:hyperlink r:id="rId11">
        <w:r>
          <w:rPr>
            <w:color w:val="0000EE"/>
            <w:u w:val="single"/>
          </w:rPr>
          <w:t>https://finance.yahoo.com/news/terawulf-signs-10-200-mw-122155137.html</w:t>
        </w:r>
      </w:hyperlink>
      <w:r>
        <w:t xml:space="preserve"> - TeraWulf has signed two 10-year high-performance computing (HPC) colocation agreements with AI cloud platform Fluidstack, securing over 200 MW of critical IT load at its Lake Mariner campus in New York. The agreements total approximately $3.7 billion in contracted revenue, with potential to reach $8.7 billion through extensions. To support the buildout, Google will backstop $1.8 billion of Fluidstack’s lease obligations and will receive warrants for about 41 million TeraWulf shares, representing an 8% equity stake. Phase one of the deployment is expected online in the first half of 2026, with full deployment by year-end 2026. (</w:t>
      </w:r>
      <w:hyperlink r:id="rId17">
        <w:r>
          <w:rPr>
            <w:color w:val="0000EE"/>
            <w:u w:val="single"/>
          </w:rPr>
          <w:t>finance.yahoo.com</w:t>
        </w:r>
      </w:hyperlink>
      <w:r>
        <w:t>)</w:t>
      </w:r>
      <w:r/>
    </w:p>
    <w:p>
      <w:pPr>
        <w:pStyle w:val="ListNumber"/>
        <w:spacing w:line="240" w:lineRule="auto"/>
        <w:ind w:left="720"/>
      </w:pPr>
      <w:r/>
      <w:hyperlink r:id="rId12">
        <w:r>
          <w:rPr>
            <w:color w:val="0000EE"/>
            <w:u w:val="single"/>
          </w:rPr>
          <w:t>https://investors.terawulf.com/news-events/press-releases/detail/121/terawulf-expands-strategic-partnership-with-fluidstack</w:t>
        </w:r>
      </w:hyperlink>
      <w:r>
        <w:t xml:space="preserve"> - TeraWulf has expanded its strategic partnership with Fluidstack through a new 168 MW AI compute joint venture. The 25-year lease agreement represents approximately $9.5 billion in contracted revenue. Google is backstopping $1.3 billion of Fluidstack’s long-term lease obligations in support of project debt and has secured an exclusive right to partner with Fluidstack on the next ~168 MW critical IT load project. This expansion increases TeraWulf’s contracted HPC platform to 510 MW of critical IT load and supports an upwardly revised growth strategy targeting 250–500 MW of new contracted capacity annually. (</w:t>
      </w:r>
      <w:hyperlink r:id="rId18">
        <w:r>
          <w:rPr>
            <w:color w:val="0000EE"/>
            <w:u w:val="single"/>
          </w:rPr>
          <w:t>investors.terawulf.com</w:t>
        </w:r>
      </w:hyperlink>
      <w:r>
        <w:t>)</w:t>
      </w:r>
      <w:r/>
    </w:p>
    <w:p>
      <w:pPr>
        <w:pStyle w:val="ListNumber"/>
        <w:spacing w:line="240" w:lineRule="auto"/>
        <w:ind w:left="720"/>
      </w:pPr>
      <w:r/>
      <w:hyperlink r:id="rId13">
        <w:r>
          <w:rPr>
            <w:color w:val="0000EE"/>
            <w:u w:val="single"/>
          </w:rPr>
          <w:t>https://www.coindesk.com/business/2025/10/28/terawulf-stock-surges-22-after-usd9-5b-google-backed-ai-compute-deal-with-fluidstack</w:t>
        </w:r>
      </w:hyperlink>
      <w:r>
        <w:t xml:space="preserve"> - TeraWulf's stock surged 22% following a $9.5 billion AI compute deal with Fluidstack, backed by Google. The 25-year lease agreement, representing about $9.5 billion in contracted revenue, will see the two firms build out 168 megawatts (MW) of data centre capacity at TeraWulf’s Abernathy, Texas campus. The facility will serve AI workloads and is expected to go live in the second half of next year. Google is supporting the deal by backing $1.3 billion of Fluidstack’s long-term lease obligations, giving lenders more confidence to finance the project. TeraWulf will hold a 51% stake in the joint venture. (</w:t>
      </w:r>
      <w:hyperlink r:id="rId19">
        <w:r>
          <w:rPr>
            <w:color w:val="0000EE"/>
            <w:u w:val="single"/>
          </w:rPr>
          <w:t>coindesk.com</w:t>
        </w:r>
      </w:hyperlink>
      <w:r>
        <w:t>)</w:t>
      </w:r>
      <w:r/>
    </w:p>
    <w:p>
      <w:pPr>
        <w:pStyle w:val="ListNumber"/>
        <w:spacing w:line="240" w:lineRule="auto"/>
        <w:ind w:left="720"/>
      </w:pPr>
      <w:r/>
      <w:hyperlink r:id="rId14">
        <w:r>
          <w:rPr>
            <w:color w:val="0000EE"/>
            <w:u w:val="single"/>
          </w:rPr>
          <w:t>https://www.datacenterdynamics.com/en/news/fluidstack-to-lease-another-160mw-of-capacity-from-terawulf-at-new-york-campus-google-to-increase-stake-in-cryptominer/</w:t>
        </w:r>
      </w:hyperlink>
      <w:r>
        <w:t xml:space="preserve"> - Fluidstack has exercised its option to add a further 160 MW at TeraWulf’s Lake Mariner data centre, increasing the total contracted IT load with Fluidstack to 360 MW. This expansion is backed by Google, which is boosting its backstop to $3.2 billion and raising its equity stake in TeraWulf to approximately 14%. The deal will see approximately 40 MW of critical IT load in the first half of 2026, with the full 200 MW deployed by the end of 2026. Fluidstack will be leasing buildings CB-3 (42 MW) and CB-4 (162 MW). (</w:t>
      </w:r>
      <w:hyperlink r:id="rId20">
        <w:r>
          <w:rPr>
            <w:color w:val="0000EE"/>
            <w:u w:val="single"/>
          </w:rPr>
          <w:t>datacenterdynamics.com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dingview.com/news/reuters.com,2025:newsml_L1N3X20OK:0-how-google-is-borrowing-nvidia-s-playbook/" TargetMode="External"/><Relationship Id="rId10" Type="http://schemas.openxmlformats.org/officeDocument/2006/relationships/hyperlink" Target="https://www.reuters.com/business/meta-talks-spend-billions-googles-chips-information-reports-2025-11-25/" TargetMode="External"/><Relationship Id="rId11" Type="http://schemas.openxmlformats.org/officeDocument/2006/relationships/hyperlink" Target="https://finance.yahoo.com/news/terawulf-signs-10-200-mw-122155137.html" TargetMode="External"/><Relationship Id="rId12" Type="http://schemas.openxmlformats.org/officeDocument/2006/relationships/hyperlink" Target="https://investors.terawulf.com/news-events/press-releases/detail/121/terawulf-expands-strategic-partnership-with-fluidstack" TargetMode="External"/><Relationship Id="rId13" Type="http://schemas.openxmlformats.org/officeDocument/2006/relationships/hyperlink" Target="https://www.coindesk.com/business/2025/10/28/terawulf-stock-surges-22-after-usd9-5b-google-backed-ai-compute-deal-with-fluidstack" TargetMode="External"/><Relationship Id="rId14" Type="http://schemas.openxmlformats.org/officeDocument/2006/relationships/hyperlink" Target="https://www.datacenterdynamics.com/en/news/fluidstack-to-lease-another-160mw-of-capacity-from-terawulf-at-new-york-campus-google-to-increase-stake-in-cryptominer/"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meta-talks-spend-billions-googles-chips-information-reports-2025-11-25/?utm_source=openai" TargetMode="External"/><Relationship Id="rId17" Type="http://schemas.openxmlformats.org/officeDocument/2006/relationships/hyperlink" Target="https://finance.yahoo.com/news/terawulf-signs-10-200-mw-122155137.html?utm_source=openai" TargetMode="External"/><Relationship Id="rId18" Type="http://schemas.openxmlformats.org/officeDocument/2006/relationships/hyperlink" Target="https://investors.terawulf.com/news-events/press-releases/detail/121/terawulf-expands-strategic-partnership-with-fluidstack?utm_source=openai" TargetMode="External"/><Relationship Id="rId19" Type="http://schemas.openxmlformats.org/officeDocument/2006/relationships/hyperlink" Target="https://www.coindesk.com/business/2025/10/28/terawulf-stock-surges-22-after-usd9-5b-google-backed-ai-compute-deal-with-fluidstack?utm_source=openai" TargetMode="External"/><Relationship Id="rId20" Type="http://schemas.openxmlformats.org/officeDocument/2006/relationships/hyperlink" Target="https://www.datacenterdynamics.com/en/news/fluidstack-to-lease-another-160mw-of-capacity-from-terawulf-at-new-york-campus-google-to-increase-stake-in-cryptomin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