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audits go data-driven with new ESG transparency mandates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Global supply chains are undergoing a significant transformation in how audits are conducted, evolving from isolated compliance checks into integrated, data-driven assurance processes that encompass environmental, social, and governance (ESG) criteria. By 2026, companies will be expected not only to verify product quality but also to provide transparent evidence regarding their carbon footprint, human rights practices, and end-to-end traceability throughout the supply chain.</w:t>
      </w:r>
      <w:r/>
    </w:p>
    <w:p>
      <w:r/>
      <w:r>
        <w:t>A key driver of this shift is the tightening regulatory landscape. Voluntary reporting is giving way to mandatory disclosure and due diligence laws with enforceable penalties. The European Union’s Corporate Sustainability Due Diligence Directive (CSDDD), which comes into force in July 2024, mandates that large companies identify and address adverse human rights and environmental impacts within their operations and value chains. This regulation targets EU companies with over 1,000 employees and substantial turnover, as well as non-EU companies operating in the EU. Failure to comply can lead to heavy financial penalties, up to 5% of global turnover, civil liability for damages, and even exclusion from public procurement processes, underscoring the serious market risks of non-compliance. These measures are enforced through national supervisory authorities across EU member states, emphasizing regulatory rigor and accountability.</w:t>
      </w:r>
      <w:r/>
    </w:p>
    <w:p>
      <w:r/>
      <w:r>
        <w:t>In the United States, similar regulatory momentum is evident through the Securities and Exchange Commission’s climate disclosure rules and legislation such as the Uyghur Forced Labor Prevention Act (UFLPA), which raise transparency expectations for supply chains and emphasize legal and financial consequences alongside reputational risks.</w:t>
      </w:r>
      <w:r/>
    </w:p>
    <w:p>
      <w:r/>
      <w:r>
        <w:t>With around 70% of a company’s carbon emissions typically originating from its suppliers, a sector where emissions data remain largely opaque, traceability is becoming a critical capability. To meet Scope 3 emissions reporting requirements, real-time, batch-level, machine-readable data will soon become indispensable. Blockchain technology has demonstrated promising results in sectors like apparel, enabling immutable and verifiable chain-of-custody records, which are key for traceability-by-design principles being adopted as standard practice.</w:t>
      </w:r>
      <w:r/>
    </w:p>
    <w:p>
      <w:r/>
      <w:r>
        <w:t>The scope of audits is also broadening substantially. Traditional environmental, health, and safety (EHS) audits are evolving into comprehensive assessments that verify emissions, water use, biodiversity impacts, and compliance with living wage standards. However, fewer than one in five major companies currently demonstrate full supply-chain due diligence, a gap that buyers, regulators, and stakeholders are determined to close in pursuit of responsible sourcing and sustainability.</w:t>
      </w:r>
      <w:r/>
    </w:p>
    <w:p>
      <w:r/>
      <w:r>
        <w:t>The role of technology, particularly artificial intelligence and automation, is becoming pivotal in augmenting audit processes. AI-powered analytics can detect anomalies such as irregular labor hours or unusual energy consumption before auditors begin their work. Automated compliance checks allow auditors to devote more attention to remediation efforts and strategic risk management. Yet, despite these advances, human judgment remains essential to navigate cultural nuances, ethical dilemmas, and to sustain stakeholder trust.</w:t>
      </w:r>
      <w:r/>
    </w:p>
    <w:p>
      <w:r/>
      <w:r>
        <w:t>For suppliers, the rising expectations present varied challenges. Large corporations typically have the infrastructure to invest in sophisticated data systems, cross-functional compliance teams, and external audit verifiers. In contrast, small and medium-sized enterprises (SMEs) often face hurdles due to fragmented regulations, limited resources, and slower digital adoption. Collaborative industry-wide solutions, such as shared digital platforms, pooled audit programs, and joint training initiatives, are emerging to help SMEs meet these demands efficiently while reducing costs and complexity.</w:t>
      </w:r>
      <w:r/>
    </w:p>
    <w:p>
      <w:r/>
      <w:r>
        <w:t>To stay ahead, companies are advised to focus on four strategic actions: first, establishing strong data governance with auditable “sources of truth” covering emissions, labour data, and material provenance; second, implementing digital traceability systems aligned with regulatory frameworks like the EU’s Digital Product Passport; third, adopting risk-based due diligence models that include effective grievance mechanisms as outlined by the OECD; and finally, preparing documentation in structured formats that facilitate AI-driven compliance reviews.</w:t>
      </w:r>
      <w:r/>
    </w:p>
    <w:p>
      <w:r/>
      <w:r>
        <w:t>Ultimately, audits are transitioning from bureaucratic exercises to essential instruments of trust in global commerce. Businesses that embed comprehensive traceability, rigorous carbon accounting, and independent assurance into their practices stand to not only comply with stringent new regulations but also gain a competitive edge. In a rapidly evolving market where transparency, resilience, and sustainability define success, these capabilities are becoming indispensable for companies aspiring to lead.</w:t>
      </w:r>
      <w:r/>
    </w:p>
    <w:p>
      <w:pPr>
        <w:pStyle w:val="Heading3"/>
      </w:pPr>
      <w:r>
        <w:t>📌 Reference Map:</w:t>
      </w:r>
      <w:r/>
      <w:r/>
    </w:p>
    <w:p>
      <w:pPr>
        <w:pStyle w:val="ListBullet"/>
        <w:spacing w:line="240" w:lineRule="auto"/>
        <w:ind w:left="720"/>
      </w:pPr>
      <w:r/>
      <w:hyperlink r:id="rId9">
        <w:r>
          <w:rPr>
            <w:color w:val="0000EE"/>
            <w:u w:val="single"/>
          </w:rPr>
          <w:t>[1]</w:t>
        </w:r>
      </w:hyperlink>
      <w:r>
        <w:t xml:space="preserve"> (Supply &amp; Demand Chain Executive) - Paragraphs 1, 2, 3, 4, 5, 6, 7, 8, 9, 10, 11</w:t>
      </w:r>
      <w:r/>
    </w:p>
    <w:p>
      <w:pPr>
        <w:pStyle w:val="ListBullet"/>
        <w:spacing w:line="240" w:lineRule="auto"/>
        <w:ind w:left="720"/>
      </w:pPr>
      <w:r/>
      <w:hyperlink r:id="rId10">
        <w:r>
          <w:rPr>
            <w:color w:val="0000EE"/>
            <w:u w:val="single"/>
          </w:rPr>
          <w:t>[2]</w:t>
        </w:r>
      </w:hyperlink>
      <w:r>
        <w:t xml:space="preserve"> (European Commission) - Paragraph 2</w:t>
      </w:r>
      <w:r/>
    </w:p>
    <w:p>
      <w:pPr>
        <w:pStyle w:val="ListBullet"/>
        <w:spacing w:line="240" w:lineRule="auto"/>
        <w:ind w:left="720"/>
      </w:pPr>
      <w:r/>
      <w:hyperlink r:id="rId11">
        <w:r>
          <w:rPr>
            <w:color w:val="0000EE"/>
            <w:u w:val="single"/>
          </w:rPr>
          <w:t>[3]</w:t>
        </w:r>
      </w:hyperlink>
      <w:r>
        <w:t xml:space="preserve"> (Sustainability.com) - Paragraph 2</w:t>
      </w:r>
      <w:r/>
    </w:p>
    <w:p>
      <w:pPr>
        <w:pStyle w:val="ListBullet"/>
        <w:spacing w:line="240" w:lineRule="auto"/>
        <w:ind w:left="720"/>
      </w:pPr>
      <w:r/>
      <w:hyperlink r:id="rId12">
        <w:r>
          <w:rPr>
            <w:color w:val="0000EE"/>
            <w:u w:val="single"/>
          </w:rPr>
          <w:t>[4]</w:t>
        </w:r>
      </w:hyperlink>
      <w:r>
        <w:t xml:space="preserve"> (Arnold &amp; Porter) - Paragraph 2</w:t>
      </w:r>
      <w:r/>
    </w:p>
    <w:p>
      <w:pPr>
        <w:pStyle w:val="ListBullet"/>
        <w:spacing w:line="240" w:lineRule="auto"/>
        <w:ind w:left="720"/>
      </w:pPr>
      <w:r/>
      <w:hyperlink r:id="rId13">
        <w:r>
          <w:rPr>
            <w:color w:val="0000EE"/>
            <w:u w:val="single"/>
          </w:rPr>
          <w:t>[5]</w:t>
        </w:r>
      </w:hyperlink>
      <w:r>
        <w:t xml:space="preserve"> (Cov.com) - Paragraph 2</w:t>
      </w:r>
      <w:r/>
    </w:p>
    <w:p>
      <w:pPr>
        <w:pStyle w:val="ListBullet"/>
        <w:spacing w:line="240" w:lineRule="auto"/>
        <w:ind w:left="720"/>
      </w:pPr>
      <w:r/>
      <w:hyperlink r:id="rId14">
        <w:r>
          <w:rPr>
            <w:color w:val="0000EE"/>
            <w:u w:val="single"/>
          </w:rPr>
          <w:t>[6]</w:t>
        </w:r>
      </w:hyperlink>
      <w:r>
        <w:t xml:space="preserve"> (Norton Rose Fulbright) - Paragraph 2</w:t>
      </w:r>
      <w:r/>
    </w:p>
    <w:p>
      <w:pPr>
        <w:pStyle w:val="ListBullet"/>
        <w:spacing w:line="240" w:lineRule="auto"/>
        <w:ind w:left="720"/>
      </w:pPr>
      <w:r/>
      <w:hyperlink r:id="rId15">
        <w:r>
          <w:rPr>
            <w:color w:val="0000EE"/>
            <w:u w:val="single"/>
          </w:rPr>
          <w:t>[7]</w:t>
        </w:r>
      </w:hyperlink>
      <w:r>
        <w:t xml:space="preserve"> (Mondaq)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https://www.sdcexec.com/sustainability/carbon-footprint/article/22952333/tv-rheinland-north-america-scope-3-ai-and-traceability-the-new-frontiers-of-supply-chain-auditing</w:t>
        </w:r>
      </w:hyperlink>
      <w:r>
        <w:t xml:space="preserve"> - Please view link - unable to able to access data</w:t>
      </w:r>
      <w:r/>
    </w:p>
    <w:p>
      <w:pPr>
        <w:pStyle w:val="ListNumber"/>
        <w:spacing w:line="240" w:lineRule="auto"/>
        <w:ind w:left="720"/>
      </w:pPr>
      <w:r/>
      <w:hyperlink r:id="rId10">
        <w:r>
          <w:rPr>
            <w:color w:val="0000EE"/>
            <w:u w:val="single"/>
          </w:rPr>
          <w:t>https://commission.europa.eu/business-economy-euro/doing-business-eu/sustainability-due-diligence-responsible-business/corporate-sustainability-due-diligence_en</w:t>
        </w:r>
      </w:hyperlink>
      <w:r>
        <w:t xml:space="preserve"> - The European Commission's Corporate Sustainability Due Diligence Directive (CSDDD), effective from 25 July 2024, mandates large companies to identify and address adverse human rights and environmental impacts within their operations and value chains. This directive applies to large EU companies with over 1,000 employees and €450 million turnover, as well as large non-EU companies with €450 million turnover in the EU. Non-compliance can result in financial, legal, and market access risks, including significant fines and potential exclusion from public procurement processes.</w:t>
      </w:r>
      <w:r/>
    </w:p>
    <w:p>
      <w:pPr>
        <w:pStyle w:val="ListNumber"/>
        <w:spacing w:line="240" w:lineRule="auto"/>
        <w:ind w:left="720"/>
      </w:pPr>
      <w:r/>
      <w:hyperlink r:id="rId11">
        <w:r>
          <w:rPr>
            <w:color w:val="0000EE"/>
            <w:u w:val="single"/>
          </w:rPr>
          <w:t>https://www.sustainability.com/insights/corporate-sustainability-due-diligence-directive-csddd/</w:t>
        </w:r>
      </w:hyperlink>
      <w:r>
        <w:t xml:space="preserve"> - The Corporate Sustainability Due Diligence Directive (CSDDD) requires companies to conduct due diligence to prevent adverse human rights and environmental impacts in their operations and supply chains. The directive will be enforced through administrative supervision, with each EU member state designating an authority to oversee compliance. Non-compliant companies may face significant fines, potentially up to 5% of their global turnover, and civil liability for damages caused by failure to meet due diligence obligations.</w:t>
      </w:r>
      <w:r/>
    </w:p>
    <w:p>
      <w:pPr>
        <w:pStyle w:val="ListNumber"/>
        <w:spacing w:line="240" w:lineRule="auto"/>
        <w:ind w:left="720"/>
      </w:pPr>
      <w:r/>
      <w:hyperlink r:id="rId12">
        <w:r>
          <w:rPr>
            <w:color w:val="0000EE"/>
            <w:u w:val="single"/>
          </w:rPr>
          <w:t>https://www.arnoldporter.com/en/perspectives/advisories/2024/06/the-eu-corporate-sustainability-due-diligence-directive</w:t>
        </w:r>
      </w:hyperlink>
      <w:r>
        <w:t xml:space="preserve"> - The EU's Corporate Sustainability Due Diligence Directive (CSDDD) requires companies to identify and address adverse human rights and environmental impacts in their operations and value chains. Enforcement involves national supervisory authorities with the power to impose fines up to 5% of a company's net worldwide turnover. Additionally, companies may face civil liability for damages resulting from non-compliance, and could be excluded from public procurement processes within the EU.</w:t>
      </w:r>
      <w:r/>
    </w:p>
    <w:p>
      <w:pPr>
        <w:pStyle w:val="ListNumber"/>
        <w:spacing w:line="240" w:lineRule="auto"/>
        <w:ind w:left="720"/>
      </w:pPr>
      <w:r/>
      <w:hyperlink r:id="rId13">
        <w:r>
          <w:rPr>
            <w:color w:val="0000EE"/>
            <w:u w:val="single"/>
          </w:rPr>
          <w:t>https://www.cov.com/news-and-insights/insights/2024/03/the-eus-corporate-sustainability-due-diligence-directive-and-forced-labour-regulation-what-next</w:t>
        </w:r>
      </w:hyperlink>
      <w:r>
        <w:t xml:space="preserve"> - The EU's Corporate Sustainability Due Diligence Directive (CSDDD) mandates companies to conduct due diligence to prevent adverse human rights and environmental impacts in their operations and supply chains. Enforcement includes national supervisory authorities with the power to impose fines up to 5% of a company's net worldwide turnover. Companies may also face civil liability for damages resulting from non-compliance and could be excluded from public procurement processes within the EU.</w:t>
      </w:r>
      <w:r/>
    </w:p>
    <w:p>
      <w:pPr>
        <w:pStyle w:val="ListNumber"/>
        <w:spacing w:line="240" w:lineRule="auto"/>
        <w:ind w:left="720"/>
      </w:pPr>
      <w:r/>
      <w:hyperlink r:id="rId14">
        <w:r>
          <w:rPr>
            <w:color w:val="0000EE"/>
            <w:u w:val="single"/>
          </w:rPr>
          <w:t>https://www.nortonrosefulbright.com/en/knowledge/publications/61fcd06c/eu-corporate-sustainability-due-diligence-directive</w:t>
        </w:r>
      </w:hyperlink>
      <w:r>
        <w:t xml:space="preserve"> - The EU's Corporate Sustainability Due Diligence Directive (CSDDD) requires companies to conduct due diligence to prevent adverse human rights and environmental impacts in their operations and supply chains. Enforcement involves national supervisory authorities with the power to impose fines up to 5% of a company's net worldwide turnover. Companies may also face civil liability for damages resulting from non-compliance and could be excluded from public procurement processes within the EU.</w:t>
      </w:r>
      <w:r/>
    </w:p>
    <w:p>
      <w:pPr>
        <w:pStyle w:val="ListNumber"/>
        <w:spacing w:line="240" w:lineRule="auto"/>
        <w:ind w:left="720"/>
      </w:pPr>
      <w:r/>
      <w:hyperlink r:id="rId15">
        <w:r>
          <w:rPr>
            <w:color w:val="0000EE"/>
            <w:u w:val="single"/>
          </w:rPr>
          <w:t>https://www.mondaq.com/corporate-and-company-law/1515036/corporate-sustainability-due-diligence-directive-a-milestone-in-eu-sustainability-regulation</w:t>
        </w:r>
      </w:hyperlink>
      <w:r>
        <w:t xml:space="preserve"> - The EU's Corporate Sustainability Due Diligence Directive (CSDDD) requires companies to conduct due diligence to prevent adverse human rights and environmental impacts in their operations and supply chains. Enforcement involves national supervisory authorities with the power to impose fines up to 5% of a company's net worldwide turnover. Companies may also face civil liability for damages resulting from non-compliance and could be excluded from public procurement processes within the EU.</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dcexec.com/sustainability/carbon-footprint/article/22952333/tv-rheinland-north-america-scope-3-ai-and-traceability-the-new-frontiers-of-supply-chain-auditing" TargetMode="External"/><Relationship Id="rId10" Type="http://schemas.openxmlformats.org/officeDocument/2006/relationships/hyperlink" Target="https://commission.europa.eu/business-economy-euro/doing-business-eu/sustainability-due-diligence-responsible-business/corporate-sustainability-due-diligence_en" TargetMode="External"/><Relationship Id="rId11" Type="http://schemas.openxmlformats.org/officeDocument/2006/relationships/hyperlink" Target="https://www.sustainability.com/insights/corporate-sustainability-due-diligence-directive-csddd/" TargetMode="External"/><Relationship Id="rId12" Type="http://schemas.openxmlformats.org/officeDocument/2006/relationships/hyperlink" Target="https://www.arnoldporter.com/en/perspectives/advisories/2024/06/the-eu-corporate-sustainability-due-diligence-directive" TargetMode="External"/><Relationship Id="rId13" Type="http://schemas.openxmlformats.org/officeDocument/2006/relationships/hyperlink" Target="https://www.cov.com/news-and-insights/insights/2024/03/the-eus-corporate-sustainability-due-diligence-directive-and-forced-labour-regulation-what-next" TargetMode="External"/><Relationship Id="rId14" Type="http://schemas.openxmlformats.org/officeDocument/2006/relationships/hyperlink" Target="https://www.nortonrosefulbright.com/en/knowledge/publications/61fcd06c/eu-corporate-sustainability-due-diligence-directive" TargetMode="External"/><Relationship Id="rId15" Type="http://schemas.openxmlformats.org/officeDocument/2006/relationships/hyperlink" Target="https://www.mondaq.com/corporate-and-company-law/1515036/corporate-sustainability-due-diligence-directive-a-milestone-in-eu-sustainability-regul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