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Pittsburgh leads cautious AI integration in local government amidst expanding data ecosystem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Despite the enormous national surge in investment into artificial intelligence, the technology’s tangible impact remains more restrained than the often lofty promises suggest. This tempered reality is particularly relevant for local governments that face pressing operational and financial challenges, where AI’s capabilities could provide timely and practical benefits. In Southwestern Pennsylvania, and Pittsburgh especially, the convergence of data infrastructure, academic partnerships, and governance needs creates a unique opportunity for thoughtfully integrating AI into public service operations.</w:t>
      </w:r>
      <w:r/>
    </w:p>
    <w:p>
      <w:r/>
      <w:r>
        <w:t>According to Panini A. Chowdhury, a professional planner based in the region, the enormous financial pressures on city and county governments necessitate smarter, not speculative, technology use. AI within government should be seen as a tool to augment human work rather than replace it. Unlike the private sector’s focus on profits or investor returns, governments must prioritise stewardship and care for their communities, demanding rigorous human oversight on AI-related decisions. While AI excels at automating repetitive tasks such as quickening permit reviews or flagging anomalies in procurement and payroll audits, it lacks the nuanced judgement essential for complex, people-centred decisions.</w:t>
      </w:r>
      <w:r/>
    </w:p>
    <w:p>
      <w:r/>
      <w:r>
        <w:t>The landscape of AI adoption within local governments reflects this cautious pragmatism. A 2024 survey by the International City/County Management Association showed that nearly half of local government professionals view AI as a low priority, with only a small fraction assigning high importance to it. Further, only 10% of surveyed governments had dedicated AI personnel, and an even smaller share had comprehensive policies governing AI usage. This underlines a gap between AI’s potential and its current, measured uptake in the public sector, further emphasising the need for gradual, purpose-driven implementation.</w:t>
      </w:r>
      <w:r/>
    </w:p>
    <w:p>
      <w:r/>
      <w:r>
        <w:t>The foundational strength of Pittsburgh’s data ecosystem, anchored by the Western Pennsylvania Regional Data Center, provides a rare advantage. Combined with longstanding collaboration between city agencies and research institutions like Carnegie Mellon University and the University of Pittsburgh, this infrastructure creates a fertile testbed for responsible AI governance innovations. From predictive maintenance for critical infrastructure such as bridges and tunnels to adaptive traffic management systems that enhance road safety, AI tools offer scalable benefits without risking job losses or requiring prohibitive new expenditures.</w:t>
      </w:r>
      <w:r/>
    </w:p>
    <w:p>
      <w:r/>
      <w:r>
        <w:t>Across the wider government spectrum, generative AI and machine learning are already being harnessed to automate internal back-office processes, improve audit accuracy, and enhance public-facing services. Reports from Deloitte underscore how AI is driving efficiency gains in diverse functions across municipalities, states, and federal agencies. These improvements not only streamline government operations but also enhance data-driven decision-making to better allocate resources and respond to emergencies. Additionally, AI applications range widely into public safety, emergency response, and financial management, areas critical to local government functionality and citizen wellbeing.</w:t>
      </w:r>
      <w:r/>
    </w:p>
    <w:p>
      <w:r/>
      <w:r>
        <w:t>However, these advancements come with significant challenges. Technical infrastructure constraints, data privacy concerns, financial limits, and the threat of AI misuse necessitate clear governance frameworks and ethical guidelines. States like Pennsylvania have already taken the prudent step of legally requiring human oversight on all AI-generated outputs, reflecting growing awareness that augmented intelligence must remain a complement to, not a substitute for, human responsibility and accountability.</w:t>
      </w:r>
      <w:r/>
    </w:p>
    <w:p>
      <w:r/>
      <w:r>
        <w:t>The broader government experience reveals a careful balancing act between fostering innovation and ensuring integrity. While AI’s transformative potential is promising, the rush to adopt without rigorous guardrails risks unproductive experimentation or worse. Industry experts urge governments to start small, focus on pilot projects with measurable outcomes, and approach AI integration incrementally. This measured approach protects taxpayers’ interests and builds resilience against potential market corrections or “AI bubbles” that have unsettled private sector expectations.</w:t>
      </w:r>
      <w:r/>
    </w:p>
    <w:p>
      <w:r/>
      <w:r>
        <w:t>In sum, Southwestern Pennsylvania’s local governments find themselves on the frontline of this evolving AI landscape. With existing assets and a culture favouring careful stewardship, Pittsburgh and Allegheny County could become exemplars of how AI serves the public good, not by replacing people but by empowering them. Across the country, the voices of caution and pragmatism resonate strongly, advising public officials to embrace AI as a robust tool while firmly maintaining human oversight and prioritising public service above all.</w:t>
      </w:r>
      <w:r/>
    </w:p>
    <w:p>
      <w:pPr>
        <w:pStyle w:val="Heading3"/>
      </w:pPr>
      <w:r>
        <w:t>📌 Reference Map:</w:t>
      </w:r>
      <w:r/>
      <w:r/>
    </w:p>
    <w:p>
      <w:pPr>
        <w:pStyle w:val="ListBullet"/>
        <w:spacing w:line="240" w:lineRule="auto"/>
        <w:ind w:left="720"/>
      </w:pPr>
      <w:r/>
      <w:hyperlink r:id="rId9">
        <w:r>
          <w:rPr>
            <w:color w:val="0000EE"/>
            <w:u w:val="single"/>
          </w:rPr>
          <w:t>[1]</w:t>
        </w:r>
      </w:hyperlink>
      <w:r>
        <w:t xml:space="preserve"> (Pittsburgh Post-Gazette) - Paragraphs 1, 2, 3, 4, 5, 6, 7, 8, 9, 10, 11</w:t>
      </w:r>
      <w:r/>
    </w:p>
    <w:p>
      <w:pPr>
        <w:pStyle w:val="ListBullet"/>
        <w:spacing w:line="240" w:lineRule="auto"/>
        <w:ind w:left="720"/>
      </w:pPr>
      <w:r/>
      <w:hyperlink r:id="rId10">
        <w:r>
          <w:rPr>
            <w:color w:val="0000EE"/>
            <w:u w:val="single"/>
          </w:rPr>
          <w:t>[2]</w:t>
        </w:r>
      </w:hyperlink>
      <w:r>
        <w:t xml:space="preserve"> (ICMA) - Paragraph 4, 5</w:t>
      </w:r>
      <w:r/>
    </w:p>
    <w:p>
      <w:pPr>
        <w:pStyle w:val="ListBullet"/>
        <w:spacing w:line="240" w:lineRule="auto"/>
        <w:ind w:left="720"/>
      </w:pPr>
      <w:r/>
      <w:hyperlink r:id="rId11">
        <w:r>
          <w:rPr>
            <w:color w:val="0000EE"/>
            <w:u w:val="single"/>
          </w:rPr>
          <w:t>[3]</w:t>
        </w:r>
      </w:hyperlink>
      <w:r>
        <w:t xml:space="preserve"> (One Advanced) - Paragraph 6, 7</w:t>
      </w:r>
      <w:r/>
    </w:p>
    <w:p>
      <w:pPr>
        <w:pStyle w:val="ListBullet"/>
        <w:spacing w:line="240" w:lineRule="auto"/>
        <w:ind w:left="720"/>
      </w:pPr>
      <w:r/>
      <w:hyperlink r:id="rId12">
        <w:r>
          <w:rPr>
            <w:color w:val="0000EE"/>
            <w:u w:val="single"/>
          </w:rPr>
          <w:t>[4]</w:t>
        </w:r>
      </w:hyperlink>
      <w:r>
        <w:t xml:space="preserve"> (Deloitte Insights) - Paragraph 6, 7</w:t>
      </w:r>
      <w:r/>
    </w:p>
    <w:p>
      <w:pPr>
        <w:pStyle w:val="ListBullet"/>
        <w:spacing w:line="240" w:lineRule="auto"/>
        <w:ind w:left="720"/>
      </w:pPr>
      <w:r/>
      <w:hyperlink r:id="rId13">
        <w:r>
          <w:rPr>
            <w:color w:val="0000EE"/>
            <w:u w:val="single"/>
          </w:rPr>
          <w:t>[5]</w:t>
        </w:r>
      </w:hyperlink>
      <w:r>
        <w:t xml:space="preserve"> (NCSL) - Paragraph 7, 8</w:t>
      </w:r>
      <w:r/>
    </w:p>
    <w:p>
      <w:pPr>
        <w:pStyle w:val="ListBullet"/>
        <w:spacing w:line="240" w:lineRule="auto"/>
        <w:ind w:left="720"/>
      </w:pPr>
      <w:r/>
      <w:hyperlink r:id="rId14">
        <w:r>
          <w:rPr>
            <w:color w:val="0000EE"/>
            <w:u w:val="single"/>
          </w:rPr>
          <w:t>[6]</w:t>
        </w:r>
      </w:hyperlink>
      <w:r>
        <w:t xml:space="preserve"> (Oracle Europe) - Paragraph 7</w:t>
      </w:r>
      <w:r/>
    </w:p>
    <w:p>
      <w:pPr>
        <w:pStyle w:val="ListBullet"/>
        <w:spacing w:line="240" w:lineRule="auto"/>
        <w:ind w:left="720"/>
      </w:pPr>
      <w:r/>
      <w:hyperlink r:id="rId15">
        <w:r>
          <w:rPr>
            <w:color w:val="0000EE"/>
            <w:u w:val="single"/>
          </w:rPr>
          <w:t>[7]</w:t>
        </w:r>
      </w:hyperlink>
      <w:r>
        <w:t xml:space="preserve"> (CompTIA)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https://www.post-gazette.com/opinion/insight/2025/11/30/pittsburgh-city-allegheny-county-government-ai-panini-chowdhury/stories/202511300002</w:t>
        </w:r>
      </w:hyperlink>
      <w:r>
        <w:t xml:space="preserve"> - Please view link - unable to able to access data</w:t>
      </w:r>
      <w:r/>
    </w:p>
    <w:p>
      <w:pPr>
        <w:pStyle w:val="ListNumber"/>
        <w:spacing w:line="240" w:lineRule="auto"/>
        <w:ind w:left="720"/>
      </w:pPr>
      <w:r/>
      <w:hyperlink r:id="rId10">
        <w:r>
          <w:rPr>
            <w:color w:val="0000EE"/>
            <w:u w:val="single"/>
          </w:rPr>
          <w:t>https://icma.org/documents/icma-survey-research-artificial-intelligence-local-government</w:t>
        </w:r>
      </w:hyperlink>
      <w:r>
        <w:t xml:space="preserve"> - A survey by the International City/County Management Association (ICMA) in April and May 2024 revealed that nearly half of local government practitioners consider AI utilisation a low priority, with less than 6% placing a high priority on it. Additionally, only 10% have designated personnel to oversee AI efforts, and 9% have established organisation-wide policies governing AI usage.</w:t>
      </w:r>
      <w:r/>
    </w:p>
    <w:p>
      <w:pPr>
        <w:pStyle w:val="ListNumber"/>
        <w:spacing w:line="240" w:lineRule="auto"/>
        <w:ind w:left="720"/>
      </w:pPr>
      <w:r/>
      <w:hyperlink r:id="rId11">
        <w:r>
          <w:rPr>
            <w:color w:val="0000EE"/>
            <w:u w:val="single"/>
          </w:rPr>
          <w:t>https://www.oneadvanced.com/resources/ai-in-local-government-benefits-challenges-and-risks/</w:t>
        </w:r>
      </w:hyperlink>
      <w:r>
        <w:t xml:space="preserve"> - This article discusses the benefits and challenges of implementing AI in local government. It highlights how AI can enhance service delivery, data-driven decision-making, and cost savings. However, it also addresses challenges such as technical infrastructure, data privacy, financial constraints, and the risks of AI misuse, emphasising the need for clear governance and ethical considerations.</w:t>
      </w:r>
      <w:r/>
    </w:p>
    <w:p>
      <w:pPr>
        <w:pStyle w:val="ListNumber"/>
        <w:spacing w:line="240" w:lineRule="auto"/>
        <w:ind w:left="720"/>
      </w:pPr>
      <w:r/>
      <w:hyperlink r:id="rId12">
        <w:r>
          <w:rPr>
            <w:color w:val="0000EE"/>
            <w:u w:val="single"/>
          </w:rPr>
          <w:t>https://www.deloitte.com/us/en/insights/industry/government-public-sector-services/use-of-ai-in-government.html</w:t>
        </w:r>
      </w:hyperlink>
      <w:r>
        <w:t xml:space="preserve"> - Deloitte Insights explores the impact of generative AI in government operations. It provides examples of AI applications in internal back-office operations, internal service operations, and public-facing uses, illustrating how AI is being leveraged to improve efficiency and service delivery in various governmental functions.</w:t>
      </w:r>
      <w:r/>
    </w:p>
    <w:p>
      <w:pPr>
        <w:pStyle w:val="ListNumber"/>
        <w:spacing w:line="240" w:lineRule="auto"/>
        <w:ind w:left="720"/>
      </w:pPr>
      <w:r/>
      <w:hyperlink r:id="rId13">
        <w:r>
          <w:rPr>
            <w:color w:val="0000EE"/>
            <w:u w:val="single"/>
          </w:rPr>
          <w:t>https://www.ncsl.org/technology-and-communication/artificial-intelligence-in-government-the-federal-and-state-landscape</w:t>
        </w:r>
      </w:hyperlink>
      <w:r>
        <w:t xml:space="preserve"> - The National Conference of State Legislatures (NCSL) discusses the adoption of AI tools across federal, state, and local governments. It highlights the rapid integration of AI in government services, the establishment of governance frameworks, and the promotion of innovation in AI applications to transform public services.</w:t>
      </w:r>
      <w:r/>
    </w:p>
    <w:p>
      <w:pPr>
        <w:pStyle w:val="ListNumber"/>
        <w:spacing w:line="240" w:lineRule="auto"/>
        <w:ind w:left="720"/>
      </w:pPr>
      <w:r/>
      <w:hyperlink r:id="rId14">
        <w:r>
          <w:rPr>
            <w:color w:val="0000EE"/>
            <w:u w:val="single"/>
          </w:rPr>
          <w:t>https://www.oracle.com/lu/artificial-intelligence/ai-local-government/</w:t>
        </w:r>
      </w:hyperlink>
      <w:r>
        <w:t xml:space="preserve"> - Oracle Europe presents ten use cases for AI in local government, including applications in public safety, emergency response, and financial management. The article illustrates how AI is being utilised to enhance various aspects of local governance, from crime prevention to disaster management and financial operations.</w:t>
      </w:r>
      <w:r/>
    </w:p>
    <w:p>
      <w:pPr>
        <w:pStyle w:val="ListNumber"/>
        <w:spacing w:line="240" w:lineRule="auto"/>
        <w:ind w:left="720"/>
      </w:pPr>
      <w:r/>
      <w:hyperlink r:id="rId15">
        <w:r>
          <w:rPr>
            <w:color w:val="0000EE"/>
            <w:u w:val="single"/>
          </w:rPr>
          <w:t>https://www.comptia.org/en-us/blog/how-ai-is-transforming-state-and-local-government-5-key-benefits/</w:t>
        </w:r>
      </w:hyperlink>
      <w:r>
        <w:t xml:space="preserve"> - CompTIA outlines five key benefits of AI in state and local government, including supporting disaster response and recovery, increasing efficiency, and cost savings. The article discusses how AI is transforming public services by enabling faster, data-driven decision-making and improving resource allocation.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st-gazette.com/opinion/insight/2025/11/30/pittsburgh-city-allegheny-county-government-ai-panini-chowdhury/stories/202511300002" TargetMode="External"/><Relationship Id="rId10" Type="http://schemas.openxmlformats.org/officeDocument/2006/relationships/hyperlink" Target="https://icma.org/documents/icma-survey-research-artificial-intelligence-local-government" TargetMode="External"/><Relationship Id="rId11" Type="http://schemas.openxmlformats.org/officeDocument/2006/relationships/hyperlink" Target="https://www.oneadvanced.com/resources/ai-in-local-government-benefits-challenges-and-risks/" TargetMode="External"/><Relationship Id="rId12" Type="http://schemas.openxmlformats.org/officeDocument/2006/relationships/hyperlink" Target="https://www.deloitte.com/us/en/insights/industry/government-public-sector-services/use-of-ai-in-government.html" TargetMode="External"/><Relationship Id="rId13" Type="http://schemas.openxmlformats.org/officeDocument/2006/relationships/hyperlink" Target="https://www.ncsl.org/technology-and-communication/artificial-intelligence-in-government-the-federal-and-state-landscape" TargetMode="External"/><Relationship Id="rId14" Type="http://schemas.openxmlformats.org/officeDocument/2006/relationships/hyperlink" Target="https://www.oracle.com/lu/artificial-intelligence/ai-local-government/" TargetMode="External"/><Relationship Id="rId15" Type="http://schemas.openxmlformats.org/officeDocument/2006/relationships/hyperlink" Target="https://www.comptia.org/en-us/blog/how-ai-is-transforming-state-and-local-government-5-key-benefi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