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Payments industry faces modernization gap as confidence outpaces readiness amid rising customer expectations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Payments industry leaders express strong confidence in the pace of innovation within their sector; however, a significant gap between confidence and actual readiness threatens to slow progress amid rapidly rising expectations. New global research from ACI Worldwide and Globant paints a complex picture of an industry caught between ambition and operational hurdles, highlighting challenges that could define competitive leadership by 2026 and beyond.</w:t>
      </w:r>
      <w:r/>
    </w:p>
    <w:p>
      <w:r/>
      <w:r>
        <w:t>The comprehensive report, “Payments in Transition: Leadership in an Era of Transformation,” draws on survey data from 500 senior executives across various regions, including North America, Europe, Latin America, the Middle East and Africa, and Asia Pacific. While nearly seven in ten (69%) perceive their organisations as leaders in payments innovation, fewer than half (44%) confirm that payments innovation ranks as a C-suite priority. This disconnect signals a potential misalignment at the highest levels of decision-making that could impede strategic execution.</w:t>
      </w:r>
      <w:r/>
    </w:p>
    <w:p>
      <w:r/>
      <w:r>
        <w:t>Crucially, the report identifies several barriers that could significantly delay transformation efforts. Over half of respondents admit they are not fully utilising the technology already at their disposal, and 44% view legacy systems as the biggest impediment to innovation. Cultural resistance within organisations further complicates modernisation, with 53% acknowledging internal hurdles slowing change. As a result, the industry faces a modernisation gap where enthusiasm outstrips effective deployment. By 2026, industry leaders expect secure, instant, and seamless transaction experiences to be the minimum customer expectation, putting additional pressure on firms to accelerate change. Customer demand emerges as the leading catalyst for transformation, cited by 79% of participants.</w:t>
      </w:r>
      <w:r/>
    </w:p>
    <w:p>
      <w:r/>
      <w:r>
        <w:t>The survey also reveals strategic shortcomings: only 36% of payments executives report having a coherent long-term roadmap for modernising payments and investments. Despite broad recognition of legacy infrastructure’s limiting effect on agility and innovation speed, a mere 25% of organisations are actively phasing out ageing platforms. This reluctance to retire outdated systems may delay new product development and adaptation to technological advancements.</w:t>
      </w:r>
      <w:r/>
    </w:p>
    <w:p>
      <w:r/>
      <w:r>
        <w:t>Security concerns remain paramount, with 77% of executives identifying fraud and cybersecurity risks as the top barriers to innovation. Regulatory complexity also presents significant challenges, with nearly two-thirds (63%) highlighting compliance requirements as slowing efforts to modernise quickly. Furthermore, cost pressures and talent shortages persist, each cited by 14% of respondents as obstacles, while only a quarter feel confident in their ability to attract, develop, and retain top payments and technology talent.</w:t>
      </w:r>
      <w:r/>
    </w:p>
    <w:p>
      <w:r/>
      <w:r>
        <w:t>AI-driven automation is forecasted to revolutionise payments performance by 2026, extending beyond fraud detection to dynamic routing, real-time anomaly identification, and self-improving models. Payment orchestration powered by artificial intelligence is expected to dominate, compelling businesses to embed intelligence in every transaction to maintain competitiveness.</w:t>
      </w:r>
      <w:r/>
    </w:p>
    <w:p>
      <w:r/>
      <w:r>
        <w:t>The report underscores an urgent need for alignment between ambition and action. Modernising payments infrastructure, integrating advanced intelligence, and preparing for significant regulatory shifts, such as the ISO 20022 migration and open banking compliance, are imperative. Platforms offering scalable, real-time solutions will be critical for organisations aiming to enhance agility, accelerate innovation, and maintain security and compliance amid rising demands.</w:t>
      </w:r>
      <w:r/>
    </w:p>
    <w:p>
      <w:r/>
      <w:r>
        <w:t>Philip Bruno, chief strategy and growth officer at ACI Worldwide, emphasised the pressing nature of this transition: “It’s time for payments leaders to turn confidence into action. Modernisation is no longer a long-term goal. It’s an immediate need. Those who retire legacy systems and embed intelligence and agility into their platforms now will set the standard for 2026 and beyond.”</w:t>
      </w:r>
      <w:r/>
    </w:p>
    <w:p>
      <w:r/>
      <w:r>
        <w:t>These findings resonate with broader insights from ACI Worldwide’s continued research on payments ecosystem evolution. Their leadership blueprint identifies eight core attributes driving over 70% of payments leaders, including executive ownership and talent activation. Industry data also highlights the substantial growth in real-time payments, expected to reach $575.1 billion by 2028, with India leading global transaction volumes. This reinforces the urgency for organisations to modernise and innovate rapidly to remain competitive amid shifting financial landscapes.</w:t>
      </w:r>
      <w:r/>
    </w:p>
    <w:p>
      <w:r/>
      <w:r>
        <w:t>Overall, the payments sector stands at a pivotal juncture where the ability to marry strategic vision with operational execution will determine future leadership. Those who successfully navigate legacy system replacement, embed cutting-edge artificial intelligence capabilities, and address regulatory and cultural challenges head-on will be best placed to thrive in the increasingly instant, secure, and seamless future of payments.</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Feed News) - Paragraphs 1, 2, 3, 4, 5, 6, 7</w:t>
      </w:r>
      <w:r/>
    </w:p>
    <w:p>
      <w:pPr>
        <w:pStyle w:val="ListBullet"/>
        <w:spacing w:line="240" w:lineRule="auto"/>
        <w:ind w:left="720"/>
      </w:pPr>
      <w:r/>
      <w:hyperlink r:id="rId10">
        <w:r>
          <w:rPr>
            <w:color w:val="0000EE"/>
            <w:u w:val="single"/>
          </w:rPr>
          <w:t>[2]</w:t>
        </w:r>
      </w:hyperlink>
      <w:r>
        <w:t xml:space="preserve"> (ACI Worldwide) - Paragraph 8</w:t>
      </w:r>
      <w:r/>
    </w:p>
    <w:p>
      <w:pPr>
        <w:pStyle w:val="ListBullet"/>
        <w:spacing w:line="240" w:lineRule="auto"/>
        <w:ind w:left="720"/>
      </w:pPr>
      <w:r/>
      <w:hyperlink r:id="rId11">
        <w:r>
          <w:rPr>
            <w:color w:val="0000EE"/>
            <w:u w:val="single"/>
          </w:rPr>
          <w:t>[3]</w:t>
        </w:r>
      </w:hyperlink>
      <w:r>
        <w:t xml:space="preserve"> (ACI Worldwide) - Paragraph 8, 9</w:t>
      </w:r>
      <w:r/>
    </w:p>
    <w:p>
      <w:pPr>
        <w:pStyle w:val="ListBullet"/>
        <w:spacing w:line="240" w:lineRule="auto"/>
        <w:ind w:left="720"/>
      </w:pPr>
      <w:r/>
      <w:hyperlink r:id="rId12">
        <w:r>
          <w:rPr>
            <w:color w:val="0000EE"/>
            <w:u w:val="single"/>
          </w:rPr>
          <w:t>[4]</w:t>
        </w:r>
      </w:hyperlink>
      <w:r>
        <w:t xml:space="preserve"> (ACI Worldwide) - Paragraph 2, 8</w:t>
      </w:r>
      <w:r/>
    </w:p>
    <w:p>
      <w:pPr>
        <w:pStyle w:val="ListBullet"/>
        <w:spacing w:line="240" w:lineRule="auto"/>
        <w:ind w:left="720"/>
      </w:pPr>
      <w:r/>
      <w:hyperlink r:id="rId13">
        <w:r>
          <w:rPr>
            <w:color w:val="0000EE"/>
            <w:u w:val="single"/>
          </w:rPr>
          <w:t>[5]</w:t>
        </w:r>
      </w:hyperlink>
      <w:r>
        <w:t xml:space="preserve"> (ACI Worldwide) - Paragraph 8, 9</w:t>
      </w:r>
      <w:r/>
    </w:p>
    <w:p>
      <w:pPr>
        <w:pStyle w:val="ListBullet"/>
        <w:spacing w:line="240" w:lineRule="auto"/>
        <w:ind w:left="720"/>
      </w:pPr>
      <w:r/>
      <w:hyperlink r:id="rId14">
        <w:r>
          <w:rPr>
            <w:color w:val="0000EE"/>
            <w:u w:val="single"/>
          </w:rPr>
          <w:t>[6]</w:t>
        </w:r>
      </w:hyperlink>
      <w:r>
        <w:t xml:space="preserve"> (ACI Worldwide) - Paragraph 9</w:t>
      </w:r>
      <w:r/>
    </w:p>
    <w:p>
      <w:pPr>
        <w:pStyle w:val="ListBullet"/>
        <w:spacing w:line="240" w:lineRule="auto"/>
        <w:ind w:left="720"/>
      </w:pPr>
      <w:r/>
      <w:hyperlink r:id="rId15">
        <w:r>
          <w:rPr>
            <w:color w:val="0000EE"/>
            <w:u w:val="single"/>
          </w:rPr>
          <w:t>[7]</w:t>
        </w:r>
      </w:hyperlink>
      <w:r>
        <w:t xml:space="preserve"> (ACI Worldwide)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https://ffnews.com/newsarticle/paytech/payments-modernisation-gap-between-confidence-and-readiness-among-industry-leaders-widens-aci-worldwide-study-finds/</w:t>
        </w:r>
      </w:hyperlink>
      <w:r>
        <w:t xml:space="preserve"> - Please view link - unable to able to access data</w:t>
      </w:r>
      <w:r/>
    </w:p>
    <w:p>
      <w:pPr>
        <w:pStyle w:val="ListNumber"/>
        <w:spacing w:line="240" w:lineRule="auto"/>
        <w:ind w:left="720"/>
      </w:pPr>
      <w:r/>
      <w:hyperlink r:id="rId10">
        <w:r>
          <w:rPr>
            <w:color w:val="0000EE"/>
            <w:u w:val="single"/>
          </w:rPr>
          <w:t>https://www.aciworldwide.com/payments-in-transition</w:t>
        </w:r>
      </w:hyperlink>
      <w:r>
        <w:t xml:space="preserve"> - ACI Worldwide's 'Payments in Transition' report examines the evolving payments landscape, identifying critical barriers and drivers, a leadership blueprint, and ecosystem shifts. It highlights the need for modernization, agility, and talent activation to navigate the complex payments ecosystem effectively. The report also explores transformative shifts redefining how money and value are exchanged, providing insights into the future of payments.</w:t>
      </w:r>
      <w:r/>
    </w:p>
    <w:p>
      <w:pPr>
        <w:pStyle w:val="ListNumber"/>
        <w:spacing w:line="240" w:lineRule="auto"/>
        <w:ind w:left="720"/>
      </w:pPr>
      <w:r/>
      <w:hyperlink r:id="rId11">
        <w:r>
          <w:rPr>
            <w:color w:val="0000EE"/>
            <w:u w:val="single"/>
          </w:rPr>
          <w:t>https://www.aciworldwide.com/payments-in-transition-report</w:t>
        </w:r>
      </w:hyperlink>
      <w:r>
        <w:t xml:space="preserve"> - This report from ACI Worldwide underscores the ongoing transformation in payments, emphasizing the importance of modernization, intelligence embedding, and reshaped customer experiences. It outlines eight attributes that distinguish high-performing organizations and presents a leadership blueprint for navigating the evolving payments ecosystem, offering a comprehensive guide for organizations aiming to excel in the payments industry.</w:t>
      </w:r>
      <w:r/>
    </w:p>
    <w:p>
      <w:pPr>
        <w:pStyle w:val="ListNumber"/>
        <w:spacing w:line="240" w:lineRule="auto"/>
        <w:ind w:left="720"/>
      </w:pPr>
      <w:r/>
      <w:hyperlink r:id="rId12">
        <w:r>
          <w:rPr>
            <w:color w:val="0000EE"/>
            <w:u w:val="single"/>
          </w:rPr>
          <w:t>https://www.aciworldwide.com/payments-in-transition-layer-two</w:t>
        </w:r>
      </w:hyperlink>
      <w:r>
        <w:t xml:space="preserve"> - In the second layer of ACI Worldwide's 'Payments in Transition' series, the focus is on the leadership blueprint. It identifies eight leadership attributes that drive over 70% of leaders in payments, emphasizing executive ownership, agility, and talent activation. The analysis reveals a gap between perception and reality, with many organizations considering themselves leaders but lacking in prioritizing payments innovation at the C-suite level.</w:t>
      </w:r>
      <w:r/>
    </w:p>
    <w:p>
      <w:pPr>
        <w:pStyle w:val="ListNumber"/>
        <w:spacing w:line="240" w:lineRule="auto"/>
        <w:ind w:left="720"/>
      </w:pPr>
      <w:r/>
      <w:hyperlink r:id="rId13">
        <w:r>
          <w:rPr>
            <w:color w:val="0000EE"/>
            <w:u w:val="single"/>
          </w:rPr>
          <w:t>https://www.aciworldwide.com/payments-in-transition-layer-three</w:t>
        </w:r>
      </w:hyperlink>
      <w:r>
        <w:t xml:space="preserve"> - The third layer of ACI Worldwide's 'Payments in Transition' report explores the macro-level ecosystem shifts redefining how money moves. It discusses the modernization of payments infrastructure, advancing protection, trust, and identity, and maximizing performance in the era of automation. The report highlights the need for organizations to adapt to these shifts to remain competitive in the rapidly changing payments landscape.</w:t>
      </w:r>
      <w:r/>
    </w:p>
    <w:p>
      <w:pPr>
        <w:pStyle w:val="ListNumber"/>
        <w:spacing w:line="240" w:lineRule="auto"/>
        <w:ind w:left="720"/>
      </w:pPr>
      <w:r/>
      <w:hyperlink r:id="rId14">
        <w:r>
          <w:rPr>
            <w:color w:val="0000EE"/>
            <w:u w:val="single"/>
          </w:rPr>
          <w:t>https://www.aciworldwide.com/real-time-payments-report</w:t>
        </w:r>
      </w:hyperlink>
      <w:r>
        <w:t xml:space="preserve"> - ACI Worldwide's 'Prime Time for Real-Time' report provides insights into the growth and adoption of real-time payments globally. It highlights a 42.2% year-over-year increase in real-time transaction volumes, with projections estimating $575.1 billion in real-time transaction volume by 2028. The report underscores the importance of real-time payments in driving economic growth and financial inclusion.</w:t>
      </w:r>
      <w:r/>
    </w:p>
    <w:p>
      <w:pPr>
        <w:pStyle w:val="ListNumber"/>
        <w:spacing w:line="240" w:lineRule="auto"/>
        <w:ind w:left="720"/>
      </w:pPr>
      <w:r/>
      <w:hyperlink r:id="rId15">
        <w:r>
          <w:rPr>
            <w:color w:val="0000EE"/>
            <w:u w:val="single"/>
          </w:rPr>
          <w:t>https://investor.aciworldwide.com/news-releases/news-release-details/global-real-time-payments-growth-sustainable-new-use-cases-push</w:t>
        </w:r>
      </w:hyperlink>
      <w:r>
        <w:t xml:space="preserve"> - ACI Worldwide's report on global real-time payments growth reveals a sustainable increase, with 266.2 billion real-time payment transactions recorded in 2023, marking a 42.2% year-over-year growth. The report highlights the dominance of India in real-time transactions, accounting for 49% globally, and discusses lessons from successful real-time payments markets, emphasizing the role of new use cases in driving this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fnews.com/newsarticle/paytech/payments-modernisation-gap-between-confidence-and-readiness-among-industry-leaders-widens-aci-worldwide-study-finds/" TargetMode="External"/><Relationship Id="rId10" Type="http://schemas.openxmlformats.org/officeDocument/2006/relationships/hyperlink" Target="https://www.aciworldwide.com/payments-in-transition" TargetMode="External"/><Relationship Id="rId11" Type="http://schemas.openxmlformats.org/officeDocument/2006/relationships/hyperlink" Target="https://www.aciworldwide.com/payments-in-transition-report" TargetMode="External"/><Relationship Id="rId12" Type="http://schemas.openxmlformats.org/officeDocument/2006/relationships/hyperlink" Target="https://www.aciworldwide.com/payments-in-transition-layer-two" TargetMode="External"/><Relationship Id="rId13" Type="http://schemas.openxmlformats.org/officeDocument/2006/relationships/hyperlink" Target="https://www.aciworldwide.com/payments-in-transition-layer-three" TargetMode="External"/><Relationship Id="rId14" Type="http://schemas.openxmlformats.org/officeDocument/2006/relationships/hyperlink" Target="https://www.aciworldwide.com/real-time-payments-report" TargetMode="External"/><Relationship Id="rId15" Type="http://schemas.openxmlformats.org/officeDocument/2006/relationships/hyperlink" Target="https://investor.aciworldwide.com/news-releases/news-release-details/global-real-time-payments-growth-sustainable-new-use-cases-pus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