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2026 set to be the defining year for AI monetisation and enterprise integration</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Enterprise and global spending on artificial intelligence (AI) is poised to reach unprecedented heights in 2026, driven by expanding AI infrastructure and a broader adoption of AI software and devices across diverse sectors. Industry forecasts unanimously underscore a significant escalation in investment, marking 2026 as a pivotal year for AI monetization and integration.</w:t>
      </w:r>
      <w:r/>
    </w:p>
    <w:p>
      <w:r/>
      <w:r>
        <w:t>Gartner projects that global AI spending will surpass $2 trillion in 2026, up from nearly $1.5 trillion in 2025. This surge is attributed to major hyperscalers increasing investments in AI-optimised infrastructure like data centres equipped with advanced hardware and GPUs. Additionally, the integration of AI into everyday technology products, such as smartphones, PCs, and other consumer devices, continues to be a major growth driver. The inclusion of Chinese technology firms and emerging AI cloud providers is also broadening the market's scale and scope. Gartner's detailed analysis identifies six key AI markets fueling this growth: generative AI-enabled smartphones, AI services, AI-optimised servers, AI semiconductors, AI application software, and AI infrastructure software.</w:t>
      </w:r>
      <w:r/>
    </w:p>
    <w:p>
      <w:r/>
      <w:r>
        <w:t>According to Dan Ives, managing director and senior equity research analyst at Wedbush Securities, 2026 will represent "the year of AI monetization," where investments in infrastructure lead to widespread enterprise and consumer applications. Wedbush analysts highlight a ramp-up in AI-related business activities, rejecting any notion that the market is experiencing a speculative bubble. Instead, they point out that AI adoption remains nascent, with organisations cautiously exploring where the technology can yield tangible value. This perspective is echoed by Deloitte’s recent report emphasizing a shift from experimental AI pilots to rigorous execution. Deloitte notes that while new foundational AI models and innovative enterprise applications continue to emerge, the real challenge lies in integrating AI into existing workflows, ensuring data quality, governance, compliance, and developing sustainable pricing models.</w:t>
      </w:r>
      <w:r/>
    </w:p>
    <w:p>
      <w:r/>
      <w:r>
        <w:t>These insights highlight a crucial inflection point: 2026 will focus less on unveiling dazzling new AI models and more on translating established AI capabilities into measurable business outcomes.</w:t>
      </w:r>
      <w:r/>
    </w:p>
    <w:p>
      <w:r/>
      <w:r>
        <w:t>On the corporate front, this acceleration in AI investment aligns with broader technology spending trends. The global technology consulting market is forecast to exceed $400 billion in revenue by 2026, reflecting demand for expert guidance in upgrading systems and bridging skill gaps. Industries such as pharmaceuticals, life sciences, healthcare, and energy are among the most active in seeking consulting services to deploy advanced technologies, including AI and data analytics, effectively.</w:t>
      </w:r>
      <w:r/>
    </w:p>
    <w:p>
      <w:r/>
      <w:r>
        <w:t>The positive momentum in AI is also reflected in stock market forecasts. Financial institutions like J.P. Morgan and Deutsche Bank project a strong performance for the S&amp;P 500 index by the end of 2026, driven in part by AI-led corporate earnings growth. J.P. Morgan anticipates the S&amp;P 500 may rise to 7,500, a roughly 11% gain, underpinned by robust earnings growth of 13-15% annually. Deutsche Bank offers an even more bullish outlook, envisioning the index reaching 8,000, a 21% increase, supported by AI’s transformative impact on company profitability.</w:t>
      </w:r>
      <w:r/>
    </w:p>
    <w:p>
      <w:r/>
      <w:r>
        <w:t>However, this optimistic outlook is tempered by continuing global economic uncertainties. The OECD’s December 2025 Economic Outlook acknowledges that AI investments are currently bolstering global growth, helping offset negative effects from recent U.S. tariff increases. Nonetheless, it cautions that ongoing trade tensions and potential market corrections in AI-driven sectors present risks. The OECD projects global economic growth will taper slightly from 3.2% in 2025 to 2.9% in 2026, with a moderate rebound expected in 2027.</w:t>
      </w:r>
      <w:r/>
    </w:p>
    <w:p>
      <w:r/>
      <w:r>
        <w:t>In summary, 2026 appears poised to be a watershed year for AI, characterised by a broad adoption of AI technologies beyond elite tech companies, a shift towards execution and monetization of AI capabilities, and strong market optimism. Yet, global economic and regulatory dynamics will continue to shape the pace and scale of AI’s integration into business and consumer landscapes.</w:t>
      </w:r>
      <w:r/>
    </w:p>
    <w:p>
      <w:pPr>
        <w:pStyle w:val="Heading3"/>
      </w:pPr>
      <w:r>
        <w:t>📌 Reference Map:</w:t>
      </w:r>
      <w:r/>
      <w:r/>
    </w:p>
    <w:p>
      <w:pPr>
        <w:pStyle w:val="ListBullet"/>
        <w:spacing w:line="240" w:lineRule="auto"/>
        <w:ind w:left="720"/>
      </w:pPr>
      <w:r/>
      <w:hyperlink r:id="rId9">
        <w:r>
          <w:rPr>
            <w:color w:val="0000EE"/>
            <w:u w:val="single"/>
          </w:rPr>
          <w:t>[1]</w:t>
        </w:r>
      </w:hyperlink>
      <w:r>
        <w:t xml:space="preserve"> (Fortune) - Paragraphs 1, 3, 5, 7, 8 </w:t>
      </w:r>
      <w:r/>
    </w:p>
    <w:p>
      <w:pPr>
        <w:pStyle w:val="ListBullet"/>
        <w:spacing w:line="240" w:lineRule="auto"/>
        <w:ind w:left="720"/>
      </w:pPr>
      <w:r/>
      <w:hyperlink r:id="rId10">
        <w:r>
          <w:rPr>
            <w:color w:val="0000EE"/>
            <w:u w:val="single"/>
          </w:rPr>
          <w:t>[2]</w:t>
        </w:r>
      </w:hyperlink>
      <w:r>
        <w:t xml:space="preserve"> (Gartner) - Paragraphs 1, 2 </w:t>
      </w:r>
      <w:r/>
    </w:p>
    <w:p>
      <w:pPr>
        <w:pStyle w:val="ListBullet"/>
        <w:spacing w:line="240" w:lineRule="auto"/>
        <w:ind w:left="720"/>
      </w:pPr>
      <w:r/>
      <w:hyperlink r:id="rId11">
        <w:r>
          <w:rPr>
            <w:color w:val="0000EE"/>
            <w:u w:val="single"/>
          </w:rPr>
          <w:t>[3]</w:t>
        </w:r>
      </w:hyperlink>
      <w:r>
        <w:t xml:space="preserve"> (CRN) - Paragraph 2 </w:t>
      </w:r>
      <w:r/>
    </w:p>
    <w:p>
      <w:pPr>
        <w:pStyle w:val="ListBullet"/>
        <w:spacing w:line="240" w:lineRule="auto"/>
        <w:ind w:left="720"/>
      </w:pPr>
      <w:r/>
      <w:hyperlink r:id="rId12">
        <w:r>
          <w:rPr>
            <w:color w:val="0000EE"/>
            <w:u w:val="single"/>
          </w:rPr>
          <w:t>[4]</w:t>
        </w:r>
      </w:hyperlink>
      <w:r>
        <w:t xml:space="preserve"> (ITPro) - Paragraph 6 </w:t>
      </w:r>
      <w:r/>
    </w:p>
    <w:p>
      <w:pPr>
        <w:pStyle w:val="ListBullet"/>
        <w:spacing w:line="240" w:lineRule="auto"/>
        <w:ind w:left="720"/>
      </w:pPr>
      <w:r/>
      <w:hyperlink r:id="rId13">
        <w:r>
          <w:rPr>
            <w:color w:val="0000EE"/>
            <w:u w:val="single"/>
          </w:rPr>
          <w:t>[5]</w:t>
        </w:r>
      </w:hyperlink>
      <w:r>
        <w:t xml:space="preserve"> (Reuters J.P. Morgan) - Paragraph 7 </w:t>
      </w:r>
      <w:r/>
    </w:p>
    <w:p>
      <w:pPr>
        <w:pStyle w:val="ListBullet"/>
        <w:spacing w:line="240" w:lineRule="auto"/>
        <w:ind w:left="720"/>
      </w:pPr>
      <w:r/>
      <w:hyperlink r:id="rId14">
        <w:r>
          <w:rPr>
            <w:color w:val="0000EE"/>
            <w:u w:val="single"/>
          </w:rPr>
          <w:t>[6]</w:t>
        </w:r>
      </w:hyperlink>
      <w:r>
        <w:t xml:space="preserve"> (Reuters Deutsche Bank) - Paragraph 7 </w:t>
      </w:r>
      <w:r/>
    </w:p>
    <w:p>
      <w:pPr>
        <w:pStyle w:val="ListBullet"/>
        <w:spacing w:line="240" w:lineRule="auto"/>
        <w:ind w:left="720"/>
      </w:pPr>
      <w:r/>
      <w:hyperlink r:id="rId15">
        <w:r>
          <w:rPr>
            <w:color w:val="0000EE"/>
            <w:u w:val="single"/>
          </w:rPr>
          <w:t>[7]</w:t>
        </w:r>
      </w:hyperlink>
      <w:r>
        <w:t xml:space="preserve"> (Reuters OECD) -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https://fortune.com/2025/12/02/2026-year-of-ai-monetization-says-wedbush-dan-ives/</w:t>
        </w:r>
      </w:hyperlink>
      <w:r>
        <w:t xml:space="preserve"> - Please view link - unable to able to access data</w:t>
      </w:r>
      <w:r/>
    </w:p>
    <w:p>
      <w:pPr>
        <w:pStyle w:val="ListNumber"/>
        <w:spacing w:line="240" w:lineRule="auto"/>
        <w:ind w:left="720"/>
      </w:pPr>
      <w:r/>
      <w:hyperlink r:id="rId10">
        <w:r>
          <w:rPr>
            <w:color w:val="0000EE"/>
            <w:u w:val="single"/>
          </w:rPr>
          <w:t>https://www.gartner.com/en/newsroom/press-releases/2025-09-17-gartner-says-worldwide-ai-spending-will-total-1-point-5-trillion-in-2025</w:t>
        </w:r>
      </w:hyperlink>
      <w:r>
        <w:t xml:space="preserve"> - Gartner forecasts that global AI spending will reach nearly $1.5 trillion in 2025, driven by investments in AI infrastructure and the integration of AI into products like smartphones and PCs. This growth is expected to continue, with spending projected to exceed $2 trillion in 2026. The expansion is attributed to major hyperscalers increasing investments in data centres with AI-optimised hardware and GPUs, as well as the inclusion of Chinese companies and new AI cloud providers in the AI investment landscape.</w:t>
      </w:r>
      <w:r/>
    </w:p>
    <w:p>
      <w:pPr>
        <w:pStyle w:val="ListNumber"/>
        <w:spacing w:line="240" w:lineRule="auto"/>
        <w:ind w:left="720"/>
      </w:pPr>
      <w:r/>
      <w:hyperlink r:id="rId11">
        <w:r>
          <w:rPr>
            <w:color w:val="0000EE"/>
            <w:u w:val="single"/>
          </w:rPr>
          <w:t>https://www.crn.com/news/ai/2025/top-6-ai-markets-in-1-5-trillion-industry-ai-spending-in-2026-to-hit-2-trillion-gartner</w:t>
        </w:r>
      </w:hyperlink>
      <w:r>
        <w:t xml:space="preserve"> - Gartner's analysis identifies the top six AI markets in 2025, including GenAI smartphones, AI services, AI-optimised servers, AI processing semiconductors, AI application software, and AI infrastructure software. These sectors are expected to drive the nearly $1.5 trillion in global AI spending in 2025, with projections indicating a rise to over $2 trillion in 2026. The growth is largely attributed to the integration of AI into consumer devices and infrastructure.</w:t>
      </w:r>
      <w:r/>
    </w:p>
    <w:p>
      <w:pPr>
        <w:pStyle w:val="ListNumber"/>
        <w:spacing w:line="240" w:lineRule="auto"/>
        <w:ind w:left="720"/>
      </w:pPr>
      <w:r/>
      <w:hyperlink r:id="rId12">
        <w:r>
          <w:rPr>
            <w:color w:val="0000EE"/>
            <w:u w:val="single"/>
          </w:rPr>
          <w:t>https://www.itpro.com/business/business-strategy/tech-consulting-market-tipped-to-surpass-usd400bn-in-global-revenue-in-2026</w:t>
        </w:r>
      </w:hyperlink>
      <w:r>
        <w:t xml:space="preserve"> - The global technology consulting market is projected to surpass $400 billion in revenues by 2026, driven by increased demand for tech upgrades. A significant portion of companies plan to update their systems and rely more on consultants, with key growth areas including pharma, life sciences, healthcare, and energy. Despite plans to double IT staffing, many companies still seek consulting firms to bridge skill gaps, especially in advanced tech and data analytics.</w:t>
      </w:r>
      <w:r/>
    </w:p>
    <w:p>
      <w:pPr>
        <w:pStyle w:val="ListNumber"/>
        <w:spacing w:line="240" w:lineRule="auto"/>
        <w:ind w:left="720"/>
      </w:pPr>
      <w:r/>
      <w:hyperlink r:id="rId13">
        <w:r>
          <w:rPr>
            <w:color w:val="0000EE"/>
            <w:u w:val="single"/>
          </w:rPr>
          <w:t>https://www.reuters.com/business/finance/jp-morgan-sees-sp-500-7500-by-end-2026-double-digit-gain-here-2025-11-26/</w:t>
        </w:r>
      </w:hyperlink>
      <w:r>
        <w:t xml:space="preserve"> - J.P. Morgan projects that the S&amp;P 500 index will reach 7,500 by the end of 2026, representing a 10.9% increase from its current level. This forecast is driven by expectations of continued strength in the U.S. economy and a major growth cycle led by artificial intelligence. The outlook assumes two more interest rate cuts from the Federal Reserve followed by a pause, with S&amp;P earnings growth anticipated at 13-15% annually over the next two years.</w:t>
      </w:r>
      <w:r/>
    </w:p>
    <w:p>
      <w:pPr>
        <w:pStyle w:val="ListNumber"/>
        <w:spacing w:line="240" w:lineRule="auto"/>
        <w:ind w:left="720"/>
      </w:pPr>
      <w:r/>
      <w:hyperlink r:id="rId14">
        <w:r>
          <w:rPr>
            <w:color w:val="0000EE"/>
            <w:u w:val="single"/>
          </w:rPr>
          <w:t>https://www.reuters.com/business/finance/deutsche-bank-sees-sp-500-rising-8000-by-end-2026-2025-11-24/</w:t>
        </w:r>
      </w:hyperlink>
      <w:r>
        <w:t xml:space="preserve"> - Deutsche Bank has issued a bullish forecast for the S&amp;P 500 index, projecting it will reach 8,000 by the end of 2026—a 21% increase from its recent close. This optimistic outlook is based on strong corporate earnings and the continued influence of artificial intelligence, predicting the index’s earnings-per-share to hit $320. Other financial institutions also share positive projections, citing AI momentum and robust profits.</w:t>
      </w:r>
      <w:r/>
    </w:p>
    <w:p>
      <w:pPr>
        <w:pStyle w:val="ListNumber"/>
        <w:spacing w:line="240" w:lineRule="auto"/>
        <w:ind w:left="720"/>
      </w:pPr>
      <w:r/>
      <w:hyperlink r:id="rId15">
        <w:r>
          <w:rPr>
            <w:color w:val="0000EE"/>
            <w:u w:val="single"/>
          </w:rPr>
          <w:t>https://www.reuters.com/world/china/tariffs-ai-boom-could-test-global-growths-resilience-oecd-says-2025-12-02/</w:t>
        </w:r>
      </w:hyperlink>
      <w:r>
        <w:t xml:space="preserve"> - The OECD's December 2025 Economic Outlook reports that global growth is proving resilient, buoyed by a surge in AI investments that help counteract the negative effects of recent U.S. tariff hikes. The organization forecasts slight global economic deceleration from 3.2% in 2025 to 2.9% in 2026, with a rebound to 3.1% expected in 2027. However, risks remain due to ongoing trade tensions and possible corrections in overvalued AI-driven stock markets.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ortune.com/2025/12/02/2026-year-of-ai-monetization-says-wedbush-dan-ives/" TargetMode="External"/><Relationship Id="rId10" Type="http://schemas.openxmlformats.org/officeDocument/2006/relationships/hyperlink" Target="https://www.gartner.com/en/newsroom/press-releases/2025-09-17-gartner-says-worldwide-ai-spending-will-total-1-point-5-trillion-in-2025" TargetMode="External"/><Relationship Id="rId11" Type="http://schemas.openxmlformats.org/officeDocument/2006/relationships/hyperlink" Target="https://www.crn.com/news/ai/2025/top-6-ai-markets-in-1-5-trillion-industry-ai-spending-in-2026-to-hit-2-trillion-gartner" TargetMode="External"/><Relationship Id="rId12" Type="http://schemas.openxmlformats.org/officeDocument/2006/relationships/hyperlink" Target="https://www.itpro.com/business/business-strategy/tech-consulting-market-tipped-to-surpass-usd400bn-in-global-revenue-in-2026" TargetMode="External"/><Relationship Id="rId13" Type="http://schemas.openxmlformats.org/officeDocument/2006/relationships/hyperlink" Target="https://www.reuters.com/business/finance/jp-morgan-sees-sp-500-7500-by-end-2026-double-digit-gain-here-2025-11-26/" TargetMode="External"/><Relationship Id="rId14" Type="http://schemas.openxmlformats.org/officeDocument/2006/relationships/hyperlink" Target="https://www.reuters.com/business/finance/deutsche-bank-sees-sp-500-rising-8000-by-end-2026-2025-11-24/" TargetMode="External"/><Relationship Id="rId15" Type="http://schemas.openxmlformats.org/officeDocument/2006/relationships/hyperlink" Target="https://www.reuters.com/world/china/tariffs-ai-boom-could-test-global-growths-resilience-oecd-says-2025-12-02/"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