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finance innovation accelerates global regulatory shifts and the rise of CBDCs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landscape of digital finance is rapidly evolving, profoundly reshaping the functioning of governments and economies worldwide. At the heart of this transformation lie advanced technologies such as artificial intelligence (AI), blockchain, and digital payments, which collectively redefine financial systems and their regulatory frameworks. Decision-making, once reliant on human analysts, is increasingly driven by AI algorithms capable of real-time risk prediction and market analysis. Cross-border transactions are now efficiently executed on blockchain networks, while embedded finance integrates financial services seamlessly into everyday digital platforms. This shift has turned virtually every digital interaction into a potential financial transaction, illustrating how deeply finance has become interwoven with technology.</w:t>
      </w:r>
      <w:r/>
    </w:p>
    <w:p>
      <w:r/>
      <w:r>
        <w:t>Regulators globally are facing the daunting challenge of keeping pace with these innovations. The U.S. Securities and Exchange Commission (SEC), for example, has launched Project Crypto to tighten oversight over digital assets, while Europe's Markets in Crypto-Assets Regulation (MiCA) has set out detailed rules particularly targeting stablecoins, token issuers, and online marketplaces. Emerging economies like Pakistan are advancing their own frameworks, such as the Virtual Assets Ordinance 2025, that legally validate and regulate digital innovations. The overarching regulatory philosophy is transitioning from reactive interventions to proactive prevention, employing continuous monitoring systems that detect anomalies and potential crises before they materialize. Central banks, including the Bank of England, Singapore, and Canada, are pioneering stress tests that simulate cyberattacks and AI-driven fraud to evaluate institutional operational resilience.</w:t>
      </w:r>
      <w:r/>
    </w:p>
    <w:p>
      <w:r/>
      <w:r>
        <w:t>Despite these advancements, data privacy remains a critical vulnerability. Platforms operated by tech giants, such as Apple and Google, that blend payments with personal data are under intense scrutiny for potentially establishing monopolistic control over consumer behaviour. Regulatory initiatives like the UK’s “Smart Data” programme and the European Union’s GDPR are central to global conversations about consumer consent, data ownership, and fair competition. In response, Regulatory Technology (RegTech) powered by AI is emerging as a vital tool, automating compliance, legal updates, and anomaly detection to reduce errors and costs substantially. Reports from consultancy McKinsey suggest that RegTech could halve compliance expenses, benefiting organisations that struggle with manual oversight.</w:t>
      </w:r>
      <w:r/>
    </w:p>
    <w:p>
      <w:r/>
      <w:r>
        <w:t>A pivotal development shaping the future of digital finance is the rise of Central Bank Digital Currencies (CBDCs). Over 90% of central banks worldwide are exploring or developing state-backed digital currencies. China leads with its widely adopted e-CNY, while the European Central Bank advances its Digital Euro initiative. The U.S. Federal Reserve remains cautious but is experimenting with tokenised dollar infrastructures. These digital currencies aim to uphold traditional monetary security while leveraging the efficiencies of digital transactions, signifying a profound rethinking of sovereign currency frameworks.</w:t>
      </w:r>
      <w:r/>
    </w:p>
    <w:p>
      <w:r/>
      <w:r>
        <w:t>Artificial intelligence continues to push regulatory boundaries through its applications in market risk prediction, credit evaluation, and autonomous trading. Regulatory bodies such as the UK’s Financial Conduct Authority (FCA) are introducing mandates to ensure AI systems in finance are transparent and auditable, with parallel investigations underway by the US SEC. As AI increasingly influences credit and investment decisions, discussions on ethical frameworks and algorithmic fairness have gained urgency, underscoring the balance between innovation and responsible oversight.</w:t>
      </w:r>
      <w:r/>
    </w:p>
    <w:p>
      <w:r/>
      <w:r>
        <w:t>This dynamic environment has led to the conceptualisation of “Regulation 2.0,” a new regulatory paradigm where technology itself reshapes market supervision. Jo Ann Barefoot, CEO of the Alliance for Innovative Regulation, describes this as a shift towards combining human expertise with real-time data to create a “revolution of information for compliance.” Instead of relying on hindsight from trailing documentation, regulators can now build forward-looking, evidence-based decision-making processes. However, the global regulatory landscape remains fragmented. The U.S. prioritises innovation freedom incentivised by the market, Europe centres on accountability and robust frameworks, and Asian markets often balance experimental approaches with control. This diversity fuels innovation but also risks businesses exploiting regulatory gaps by relocating to lenient jurisdictions. International cooperation through bodies like the Financial Stability Board and the G20 is crucial to forging coherent global standards.</w:t>
      </w:r>
      <w:r/>
    </w:p>
    <w:p>
      <w:r/>
      <w:r>
        <w:t>In Asia, Hong Kong is taking significant steps to refine its regulatory structure. The Securities and Futures Commission recently initiated consultations to prevent unregulated entities from using misleading language such as “cryptocurrency exchange” or “virtual asset trading platform,” aiming to shield consumers from confusion and enhance market integrity. Additionally, the upcoming Stablecoin Ordinance, effective August 1, 2025, establishes a rigorous licensing regime, alongside requirements for reserve assets and redemption rights. These measures reflect a global trend towards comprehensive oversight designed to balance innovation with consumer protection. Meanwhile, China's stance remains cautious, opposing cryptocurrency use within its borders while driving forward its CBDC development, illustrating the complex geopolitical dynamics influencing digital finance regulation.</w:t>
      </w:r>
      <w:r/>
    </w:p>
    <w:p>
      <w:r/>
      <w:r>
        <w:t>Major financial institutions are already adapting strategically to these realities. Goldman Sachs is expanding its digital asset division, emphasising tokenised securities under strict compliance rules. JPMorgan’s Onyx platform has emerged as a blockchain pioneer for settlement systems, while decentralised platforms like those built on Ethereum are increasingly engaging with regulators through transparency initiatives. These collaborations indicate a shift towards voluntary, responsible innovation that aims to build trust and ensure long-term viability.</w:t>
      </w:r>
      <w:r/>
    </w:p>
    <w:p>
      <w:r/>
      <w:r>
        <w:t>Consumer behaviour mirrors this technological and regulatory transformation. Younger generations expect financial services to be mobile, intuitive, and immediate, with high standards for data security and personalised experiences. Traditional banks are responding by collaborating with fintech startups to develop a financial ecosystem that is both democratized and interconnected, significantly expanding global payment access, investment tools, and capital availability. Such changes not only influence economies at large but also reshape individual lives.</w:t>
      </w:r>
      <w:r/>
    </w:p>
    <w:p>
      <w:r/>
      <w:r>
        <w:t>Nevertheless, the digital finance boom is not without perils. High-profile failures, including Germany’s Wirecard scandal, the collapse of FTX, and the volatility of algorithmic stablecoins, have exposed vulnerabilities in the absence of adequate regulation. These crises have catalysed reforms like the EU’s MiCA, which incorporates stricter liquidity and consumer protection measures. Each failure, though costly, serves as a critical learning opportunity to build a safer, more resilient financial system.</w:t>
      </w:r>
      <w:r/>
    </w:p>
    <w:p>
      <w:r/>
      <w:r>
        <w:t>International forums and collaborative initiatives further accelerate this regulatory evolution. Projects like the Bank for International Settlements’ Innovation Hubs are uniting regulators and innovators to explore technologies such as decentralised ledgers, real-time compliance tools, and cross-border payment systems. This cooperative approach marks a pivotal shift, enabling regulatory policies to progress alongside technological innovation rather than lag behind it.</w:t>
      </w:r>
      <w:r/>
    </w:p>
    <w:p>
      <w:r/>
      <w:r>
        <w:t>Beyond technology and regulation, the societal impact of digital finance is profound. By offering financial services, such as microloans, savings accounts, and investment options, to historically underserved populations, digital finance fosters financial inclusion. Regulators emphasize that alongside technological progress, digital literacy and education are essential to empower users effectively. The goal extends beyond mere modernisation to humanising finance, ensuring technological advancements serve people’s needs and rights.</w:t>
      </w:r>
      <w:r/>
    </w:p>
    <w:p>
      <w:r/>
      <w:r>
        <w:t>In sum, the current era of digital finance is distinguished not by a singular breakthrough but by a convergence of innovations in AI, blockchain, data governance, and regulatory adaptation. While regulators strive to keep pace, progress depends on collaboration, ethical foresight, and adaptability. This collective effort promises not only a financial revolution but the construction of a more intelligent, equitable, and resilient economic future rooted in trust as much as technology.</w:t>
      </w:r>
      <w:r/>
    </w:p>
    <w:p>
      <w:pPr>
        <w:pStyle w:val="Heading3"/>
      </w:pPr>
      <w:r>
        <w:t>📌 Reference Map:</w:t>
      </w:r>
      <w:r/>
      <w:r/>
    </w:p>
    <w:p>
      <w:pPr>
        <w:pStyle w:val="ListBullet"/>
        <w:spacing w:line="240" w:lineRule="auto"/>
        <w:ind w:left="720"/>
      </w:pPr>
      <w:r/>
      <w:hyperlink r:id="rId9">
        <w:r>
          <w:rPr>
            <w:color w:val="0000EE"/>
            <w:u w:val="single"/>
          </w:rPr>
          <w:t>[1]</w:t>
        </w:r>
      </w:hyperlink>
      <w:r>
        <w:t xml:space="preserve"> Fortune Herald - Paragraphs 1-13, 15-18 </w:t>
      </w:r>
      <w:r/>
    </w:p>
    <w:p>
      <w:pPr>
        <w:pStyle w:val="ListBullet"/>
        <w:spacing w:line="240" w:lineRule="auto"/>
        <w:ind w:left="720"/>
      </w:pPr>
      <w:r/>
      <w:hyperlink r:id="rId10">
        <w:r>
          <w:rPr>
            <w:color w:val="0000EE"/>
            <w:u w:val="single"/>
          </w:rPr>
          <w:t>[2]</w:t>
        </w:r>
      </w:hyperlink>
      <w:r>
        <w:t xml:space="preserve"> Gibson Dunn - Paragraph 10 </w:t>
      </w:r>
      <w:r/>
    </w:p>
    <w:p>
      <w:pPr>
        <w:pStyle w:val="ListBullet"/>
        <w:spacing w:line="240" w:lineRule="auto"/>
        <w:ind w:left="720"/>
      </w:pPr>
      <w:r/>
      <w:hyperlink r:id="rId11">
        <w:r>
          <w:rPr>
            <w:color w:val="0000EE"/>
            <w:u w:val="single"/>
          </w:rPr>
          <w:t>[3]</w:t>
        </w:r>
      </w:hyperlink>
      <w:hyperlink r:id="rId11">
        <w:r>
          <w:rPr>
            <w:color w:val="0000EE"/>
            <w:u w:val="single"/>
          </w:rPr>
          <w:t>[4]</w:t>
        </w:r>
      </w:hyperlink>
      <w:hyperlink r:id="rId11">
        <w:r>
          <w:rPr>
            <w:color w:val="0000EE"/>
            <w:u w:val="single"/>
          </w:rPr>
          <w:t>[5]</w:t>
        </w:r>
      </w:hyperlink>
      <w:hyperlink r:id="rId11">
        <w:r>
          <w:rPr>
            <w:color w:val="0000EE"/>
            <w:u w:val="single"/>
          </w:rPr>
          <w:t>[6]</w:t>
        </w:r>
      </w:hyperlink>
      <w:hyperlink r:id="rId11">
        <w:r>
          <w:rPr>
            <w:color w:val="0000EE"/>
            <w:u w:val="single"/>
          </w:rPr>
          <w:t>[7]</w:t>
        </w:r>
      </w:hyperlink>
      <w:r>
        <w:t xml:space="preserve"> JDSupra (Digital Assets Summit 2025) - Paragraphs 10-12</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https://fortuneherald.com/life-style/a-new-era-of-digital-finance-takes-shape-regulators-struggle-to-rein-in-the-tech-revolution-of-money/</w:t>
        </w:r>
      </w:hyperlink>
      <w:r>
        <w:t xml:space="preserve"> - Please view link - unable to able to access data</w:t>
      </w:r>
      <w:r/>
    </w:p>
    <w:p>
      <w:pPr>
        <w:pStyle w:val="ListNumber"/>
        <w:spacing w:line="240" w:lineRule="auto"/>
        <w:ind w:left="720"/>
      </w:pPr>
      <w:r/>
      <w:hyperlink r:id="rId10">
        <w:r>
          <w:rPr>
            <w:color w:val="0000EE"/>
            <w:u w:val="single"/>
          </w:rPr>
          <w:t>https://www.gibsondunn.com/digital-assets-recent-updates-june-2025/</w:t>
        </w:r>
      </w:hyperlink>
      <w:r>
        <w:t xml:space="preserve"> - This article discusses recent developments in digital asset regulation as of June 2025. It highlights Hong Kong's Securities and Futures Commission launching a consultation to restrict unregulated entities from using misleading names, aiming to prevent public confusion about regulatory status. The proposed amendments to the Securities and Futures Ordinance and the Anti-Money Laundering and Counter-Terrorist Financing Ordinance seek to ensure that only regulated entities can use terms like 'cryptocurrency exchange' or 'virtual asset trading platform'. This initiative reflects a global trend towards stricter oversight of digital asset markets to protect consumers and maintain market integrity.</w:t>
      </w:r>
      <w:r/>
    </w:p>
    <w:p>
      <w:pPr>
        <w:pStyle w:val="ListNumber"/>
        <w:spacing w:line="240" w:lineRule="auto"/>
        <w:ind w:left="720"/>
      </w:pPr>
      <w:r/>
      <w:hyperlink r:id="rId11">
        <w:r>
          <w:rPr>
            <w:color w:val="0000EE"/>
            <w:u w:val="single"/>
          </w:rPr>
          <w:t>https://www.jdsupra.com/legalnews/the-digital-assets-summit-2025-winds-of-8522862/</w:t>
        </w:r>
      </w:hyperlink>
      <w:r>
        <w:t xml:space="preserve"> - This article provides insights from the Digital Assets Summit 2025, focusing on global regulatory and policy developments in digital finance. It covers Hong Kong's Stablecoin Ordinance, effective from August 1, 2025, which establishes a comprehensive regulatory framework for stablecoins, including licensing, reserve asset, and redemption right requirements. The piece also discusses the geopolitical landscape, noting China's opposition to cryptocurrency use within its borders while supporting the development of Central Bank Digital Currencies (CBDCs). The article highlights the complex interplay between innovation, regulation, and international relations in the evolving digital asset space.</w:t>
      </w:r>
      <w:r/>
    </w:p>
    <w:p>
      <w:pPr>
        <w:pStyle w:val="ListNumber"/>
        <w:spacing w:line="240" w:lineRule="auto"/>
        <w:ind w:left="720"/>
      </w:pPr>
      <w:r/>
      <w:hyperlink r:id="rId11">
        <w:r>
          <w:rPr>
            <w:color w:val="0000EE"/>
            <w:u w:val="single"/>
          </w:rPr>
          <w:t>https://www.jdsupra.com/legalnews/the-digital-assets-summit-2025-winds-of-8522862/</w:t>
        </w:r>
      </w:hyperlink>
      <w:r>
        <w:t xml:space="preserve"> - This article provides insights from the Digital Assets Summit 2025, focusing on global regulatory and policy developments in digital finance. It covers Hong Kong's Stablecoin Ordinance, effective from August 1, 2025, which establishes a comprehensive regulatory framework for stablecoins, including licensing, reserve asset, and redemption right requirements. The piece also discusses the geopolitical landscape, noting China's opposition to cryptocurrency use within its borders while supporting the development of Central Bank Digital Currencies (CBDCs). The article highlights the complex interplay between innovation, regulation, and international relations in the evolving digital asset space.</w:t>
      </w:r>
      <w:r/>
    </w:p>
    <w:p>
      <w:pPr>
        <w:pStyle w:val="ListNumber"/>
        <w:spacing w:line="240" w:lineRule="auto"/>
        <w:ind w:left="720"/>
      </w:pPr>
      <w:r/>
      <w:hyperlink r:id="rId11">
        <w:r>
          <w:rPr>
            <w:color w:val="0000EE"/>
            <w:u w:val="single"/>
          </w:rPr>
          <w:t>https://www.jdsupra.com/legalnews/the-digital-assets-summit-2025-winds-of-8522862/</w:t>
        </w:r>
      </w:hyperlink>
      <w:r>
        <w:t xml:space="preserve"> - This article provides insights from the Digital Assets Summit 2025, focusing on global regulatory and policy developments in digital finance. It covers Hong Kong's Stablecoin Ordinance, effective from August 1, 2025, which establishes a comprehensive regulatory framework for stablecoins, including licensing, reserve asset, and redemption right requirements. The piece also discusses the geopolitical landscape, noting China's opposition to cryptocurrency use within its borders while supporting the development of Central Bank Digital Currencies (CBDCs). The article highlights the complex interplay between innovation, regulation, and international relations in the evolving digital asset space.</w:t>
      </w:r>
      <w:r/>
    </w:p>
    <w:p>
      <w:pPr>
        <w:pStyle w:val="ListNumber"/>
        <w:spacing w:line="240" w:lineRule="auto"/>
        <w:ind w:left="720"/>
      </w:pPr>
      <w:r/>
      <w:hyperlink r:id="rId11">
        <w:r>
          <w:rPr>
            <w:color w:val="0000EE"/>
            <w:u w:val="single"/>
          </w:rPr>
          <w:t>https://www.jdsupra.com/legalnews/the-digital-assets-summit-2025-winds-of-8522862/</w:t>
        </w:r>
      </w:hyperlink>
      <w:r>
        <w:t xml:space="preserve"> - This article provides insights from the Digital Assets Summit 2025, focusing on global regulatory and policy developments in digital finance. It covers Hong Kong's Stablecoin Ordinance, effective from August 1, 2025, which establishes a comprehensive regulatory framework for stablecoins, including licensing, reserve asset, and redemption right requirements. The piece also discusses the geopolitical landscape, noting China's opposition to cryptocurrency use within its borders while supporting the development of Central Bank Digital Currencies (CBDCs). The article highlights the complex interplay between innovation, regulation, and international relations in the evolving digital asset space.</w:t>
      </w:r>
      <w:r/>
    </w:p>
    <w:p>
      <w:pPr>
        <w:pStyle w:val="ListNumber"/>
        <w:spacing w:line="240" w:lineRule="auto"/>
        <w:ind w:left="720"/>
      </w:pPr>
      <w:r/>
      <w:hyperlink r:id="rId11">
        <w:r>
          <w:rPr>
            <w:color w:val="0000EE"/>
            <w:u w:val="single"/>
          </w:rPr>
          <w:t>https://www.jdsupra.com/legalnews/the-digital-assets-summit-2025-winds-of-8522862/</w:t>
        </w:r>
      </w:hyperlink>
      <w:r>
        <w:t xml:space="preserve"> - This article provides insights from the Digital Assets Summit 2025, focusing on global regulatory and policy developments in digital finance. It covers Hong Kong's Stablecoin Ordinance, effective from August 1, 2025, which establishes a comprehensive regulatory framework for stablecoins, including licensing, reserve asset, and redemption right requirements. The piece also discusses the geopolitical landscape, noting China's opposition to cryptocurrency use within its borders while supporting the development of Central Bank Digital Currencies (CBDCs). The article highlights the complex interplay between innovation, regulation, and international relations in the evolving digital asset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herald.com/life-style/a-new-era-of-digital-finance-takes-shape-regulators-struggle-to-rein-in-the-tech-revolution-of-money/" TargetMode="External"/><Relationship Id="rId10" Type="http://schemas.openxmlformats.org/officeDocument/2006/relationships/hyperlink" Target="https://www.gibsondunn.com/digital-assets-recent-updates-june-2025/" TargetMode="External"/><Relationship Id="rId11" Type="http://schemas.openxmlformats.org/officeDocument/2006/relationships/hyperlink" Target="https://www.jdsupra.com/legalnews/the-digital-assets-summit-2025-winds-of-8522862/"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