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moves beyond hype cycle disillusionment with strategic integration exemplified by Mimecast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Gartner’s renowned "hype cycle," which tracks the maturity and adoption of emerging technologies, positions generative artificial intelligence (AI) as moving past the Peak of Inflated Expectations and descending into what is termed the Trough of Disillusionment. This reflects a cooling of initial excitement following the launch of OpenAI’s ChatGPT three years ago, a tool that rapidly captured the imagination of millions with its ability to perform diverse tasks, from composing poetry to summarising complex documents and crafting business presentations.</w:t>
      </w:r>
      <w:r/>
    </w:p>
    <w:p>
      <w:r/>
      <w:r>
        <w:t>Despite ChatGPT’s impressive capabilities, fundamental issues such as hallucination or the generation of inaccurate information have tempered enthusiasm. Corporate leaders have voiced both excitement about AI’s potential to enhance productivity across numerous functions and concern over risks related to data security, client confidentiality, and reputational harm. This duality has begun to manifest in reports highlighting generative AI’s underwhelming delivery against early, sky-high expectations, signalling growing corporate disillusionment.</w:t>
      </w:r>
      <w:r/>
    </w:p>
    <w:p>
      <w:r/>
      <w:r>
        <w:t>Nonetheless, with careful implementation and adequate preparation, generative AI remains a potent productivity enhancer. This is evidenced by leading US technology firms, which appear to be benefiting from what the research firm Alpine Macro describes as a “jobless profit boom.” These companies, while reducing headcount, are experiencing accelerated productivity growth that Alpine Macro attributes in part to AI-driven efficiencies. The data suggests the displacement of some technology jobs by AI, with ripple effects noted across the broader economy, including a sustained lag in private sector employment compared with pre-pandemic trends. Additionally, factors like reduced labour supply through the deportation of undocumented workers may be propelling companies to invest more in technology, driving productivity gains that are now twice as rapid as those in the 2010s.</w:t>
      </w:r>
      <w:r/>
    </w:p>
    <w:p>
      <w:r/>
      <w:r>
        <w:t>One illustrative example of successful AI adoption is Mimecast, a global cybersecurity company serving over 40,000 customers. Mimecast has taken a company-wide approach, encouraging all 2,400 employees to integrate AI into their workflows with comprehensive training to support ethical use. According to Tim Seamans, the company’s vice-president for AI and business transformation, 96% of staff now routinely leverage AI tools, resulting in marked productivity improvements. The company’s strategy includes top-down leadership engagement, with the CEO actively creating AI agents to foster innovation, and benchmarking departments against industry adoption rates to identify areas for growth, including less obvious functions such as customer service and human resources.</w:t>
      </w:r>
      <w:r/>
    </w:p>
    <w:p>
      <w:r/>
      <w:r>
        <w:t>Mimecast’s experience underscores a crucial lesson emphasised by many executives and Gartner’s broader analysis: leveraging AI effectively is not purely a technical challenge but demands organisational and cultural change. Companies need to evolve their work practices and business models alongside technological advancements to move from the disillusionment phase into the more productive stages of the hype cycle.</w:t>
      </w:r>
      <w:r/>
    </w:p>
    <w:p>
      <w:r/>
      <w:r>
        <w:t>Gartner’s recent 2025 reports and webinars further contextualise this evolution, noting a shift from generative AI’s initial hype toward foundational innovations that enable sustainable and responsible AI adoption. These foundational enablers include AI-ready data infrastructure and AI trust, risk, and security management frameworks that are critical to scaling AI usage responsibly. The peak of current expectations is characterised by breakthroughs in multimodal AI, systems that process multiple forms of data simultaneously, and enhanced AI governance practices, collectively termed AI TRiSM (trust, risk, and security management).</w:t>
      </w:r>
      <w:r/>
    </w:p>
    <w:p>
      <w:r/>
      <w:r>
        <w:t>Leaders are advised to move beyond experimentation, pivoting towards embedding AI into core business strategies while navigating regulatory complexities and ensuring ethical deployment. This balanced approach aims to capitalise on AI’s transformative potential without falling prey to the pitfalls that have prompted widespread scepticism.</w:t>
      </w:r>
      <w:r/>
    </w:p>
    <w:p>
      <w:r/>
      <w:r>
        <w:t>In summary, while the initial euphoria around generative AI like ChatGPT has diminished in the face of real-world challenges, strategic, well-governed integration of AI technologies, exemplified by companies such as Mimecast, demonstrates that AI can still deliver meaningful productivity and innovation gains. The journey up the Gartner hype cycle continues, with the emphasis now on responsible scaling and foundational readiness that will determine the technology’s long-term impact on business and society.</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Times) - Paragraphs 1, 2, 3, 4, 5, 6, 7 </w:t>
      </w:r>
      <w:r/>
    </w:p>
    <w:p>
      <w:pPr>
        <w:pStyle w:val="ListBullet"/>
        <w:spacing w:line="240" w:lineRule="auto"/>
        <w:ind w:left="720"/>
      </w:pPr>
      <w:r/>
      <w:hyperlink r:id="rId10">
        <w:r>
          <w:rPr>
            <w:color w:val="0000EE"/>
            <w:u w:val="single"/>
          </w:rPr>
          <w:t>[2]</w:t>
        </w:r>
      </w:hyperlink>
      <w:r>
        <w:t xml:space="preserve"> (Gartner) - Paragraph 8 </w:t>
      </w:r>
      <w:r/>
    </w:p>
    <w:p>
      <w:pPr>
        <w:pStyle w:val="ListBullet"/>
        <w:spacing w:line="240" w:lineRule="auto"/>
        <w:ind w:left="720"/>
      </w:pPr>
      <w:r/>
      <w:hyperlink r:id="rId11">
        <w:r>
          <w:rPr>
            <w:color w:val="0000EE"/>
            <w:u w:val="single"/>
          </w:rPr>
          <w:t>[3]</w:t>
        </w:r>
      </w:hyperlink>
      <w:r>
        <w:t xml:space="preserve"> (Gartner Webinar) - Paragraph 9 </w:t>
      </w:r>
      <w:r/>
    </w:p>
    <w:p>
      <w:pPr>
        <w:pStyle w:val="ListBullet"/>
        <w:spacing w:line="240" w:lineRule="auto"/>
        <w:ind w:left="720"/>
      </w:pPr>
      <w:r/>
      <w:hyperlink r:id="rId12">
        <w:r>
          <w:rPr>
            <w:color w:val="0000EE"/>
            <w:u w:val="single"/>
          </w:rPr>
          <w:t>[4]</w:t>
        </w:r>
      </w:hyperlink>
      <w:r>
        <w:t xml:space="preserve"> (Gartner Press Release) - Paragraph 8, 9 </w:t>
      </w:r>
      <w:r/>
    </w:p>
    <w:p>
      <w:pPr>
        <w:pStyle w:val="ListBullet"/>
        <w:spacing w:line="240" w:lineRule="auto"/>
        <w:ind w:left="720"/>
      </w:pPr>
      <w:r/>
      <w:hyperlink r:id="rId13">
        <w:r>
          <w:rPr>
            <w:color w:val="0000EE"/>
            <w:u w:val="single"/>
          </w:rPr>
          <w:t>[5]</w:t>
        </w:r>
      </w:hyperlink>
      <w:r>
        <w:t xml:space="preserve"> (Mimecast Blog) - Paragraph 6 </w:t>
      </w:r>
      <w:r/>
    </w:p>
    <w:p>
      <w:pPr>
        <w:pStyle w:val="ListBullet"/>
        <w:spacing w:line="240" w:lineRule="auto"/>
        <w:ind w:left="720"/>
      </w:pPr>
      <w:r/>
      <w:hyperlink r:id="rId14">
        <w:r>
          <w:rPr>
            <w:color w:val="0000EE"/>
            <w:u w:val="single"/>
          </w:rPr>
          <w:t>[7]</w:t>
        </w:r>
      </w:hyperlink>
      <w:r>
        <w:t xml:space="preserve"> (Gartner Article) - Paragraph 8,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https://www.ft.com/content/bc84b655-3c91-4efc-9191-18366173c4ca</w:t>
        </w:r>
      </w:hyperlink>
      <w:r>
        <w:t xml:space="preserve"> - Please view link - unable to able to access data</w:t>
      </w:r>
      <w:r/>
    </w:p>
    <w:p>
      <w:pPr>
        <w:pStyle w:val="ListNumber"/>
        <w:spacing w:line="240" w:lineRule="auto"/>
        <w:ind w:left="720"/>
      </w:pPr>
      <w:r/>
      <w:hyperlink r:id="rId10">
        <w:r>
          <w:rPr>
            <w:color w:val="0000EE"/>
            <w:u w:val="single"/>
          </w:rPr>
          <w:t>https://www.gartner.com/en/documents/6719134</w:t>
        </w:r>
      </w:hyperlink>
      <w:r>
        <w:t xml:space="preserve"> - Gartner's 'Hype Cycle for Generative AI, 2025' report analyses the rapid evolution of generative AI technologies and the surrounding hype, assisting leaders in navigating this dynamic landscape. It provides insights into the maturity, adoption, and business impact of generative AI innovations, helping organizations identify the most promising technologies to pursue as they shape and execute their AI strategies.</w:t>
      </w:r>
      <w:r/>
    </w:p>
    <w:p>
      <w:pPr>
        <w:pStyle w:val="ListNumber"/>
        <w:spacing w:line="240" w:lineRule="auto"/>
        <w:ind w:left="720"/>
      </w:pPr>
      <w:r/>
      <w:hyperlink r:id="rId11">
        <w:r>
          <w:rPr>
            <w:color w:val="0000EE"/>
            <w:u w:val="single"/>
          </w:rPr>
          <w:t>https://www.gartner.com/en/webinar/764837/1735244-the-gartner-hype-cycle-for-artificial-intelligence-2025</w:t>
        </w:r>
      </w:hyperlink>
      <w:r>
        <w:t xml:space="preserve"> - This Gartner webinar, titled 'The Gartner Hype Cycle for Artificial Intelligence 2025', discusses the shift from generative AI hype to foundational innovations. It emphasizes the importance of moving beyond experimentation to scalable, responsible AI adoption, highlighting strategies for building responsible AI practices, benchmarking infrastructure, and aligning pilots with business objectives to ensure long-term success in the evolving AI landscape.</w:t>
      </w:r>
      <w:r/>
    </w:p>
    <w:p>
      <w:pPr>
        <w:pStyle w:val="ListNumber"/>
        <w:spacing w:line="240" w:lineRule="auto"/>
        <w:ind w:left="720"/>
      </w:pPr>
      <w:r/>
      <w:hyperlink r:id="rId12">
        <w:r>
          <w:rPr>
            <w:color w:val="0000EE"/>
            <w:u w:val="single"/>
          </w:rPr>
          <w:t>https://www.gartner.com/en/newsroom/press-releases/2025-08-05-gartner-hype-cycle-identifies-top-ai-innovations-in-2025</w:t>
        </w:r>
      </w:hyperlink>
      <w:r>
        <w:t xml:space="preserve"> - Gartner's press release identifies top AI innovations in 2025, noting a shift from generative AI as a central focus to foundational enablers supporting sustainable AI delivery, such as AI-ready data and AI agents. It highlights that multimodal AI and AI trust, risk, and security management (TRiSM) are expected to dominate the Peak of Inflated Expectations, enabling more robust, innovative, and responsible AI applications.</w:t>
      </w:r>
      <w:r/>
    </w:p>
    <w:p>
      <w:pPr>
        <w:pStyle w:val="ListNumber"/>
        <w:spacing w:line="240" w:lineRule="auto"/>
        <w:ind w:left="720"/>
      </w:pPr>
      <w:r/>
      <w:hyperlink r:id="rId13">
        <w:r>
          <w:rPr>
            <w:color w:val="0000EE"/>
            <w:u w:val="single"/>
          </w:rPr>
          <w:t>https://www.mimecast.com/es/blog/building-trust-through-action-part-one/</w:t>
        </w:r>
      </w:hyperlink>
      <w:r>
        <w:t xml:space="preserve"> - Mimecast's blog post, 'Building Trust Through Action (Part One)', details the company's efforts to enhance AI fluency among its employees. It describes a comprehensive, multi-tiered training program with clear certification pathways, resulting in 72% of employees certified in GenAI Fundamentals, 30% achieving Proficient certification, and 20% reaching Mastery level, demonstrating advanced capability to leverage AI for complex workflows.</w:t>
      </w:r>
      <w:r/>
    </w:p>
    <w:p>
      <w:pPr>
        <w:pStyle w:val="ListNumber"/>
        <w:spacing w:line="240" w:lineRule="auto"/>
        <w:ind w:left="720"/>
      </w:pPr>
      <w:r/>
      <w:hyperlink r:id="rId16">
        <w:r>
          <w:rPr>
            <w:color w:val="0000EE"/>
            <w:u w:val="single"/>
          </w:rPr>
          <w:t>https://www.gartner.com/en/conferences/na/symposium-us/sessions/detail/4086618-Hype-Cycle-for-Generative-AI-2025</w:t>
        </w:r>
      </w:hyperlink>
      <w:r>
        <w:t xml:space="preserve"> - This session at the Gartner IT Symposium/Xpo™ 2026, titled 'Hype Cycle for Generative AI 2025', explores the accelerated innovation in new AI models and products enabling generative AI. It aims to provide IT leaders with insights into key techniques and technologies powering this transformative trend, helping them understand the maturity, adoption, and business impact of generative AI innovations.</w:t>
      </w:r>
      <w:r/>
    </w:p>
    <w:p>
      <w:pPr>
        <w:pStyle w:val="ListNumber"/>
        <w:spacing w:line="240" w:lineRule="auto"/>
        <w:ind w:left="720"/>
      </w:pPr>
      <w:r/>
      <w:hyperlink r:id="rId14">
        <w:r>
          <w:rPr>
            <w:color w:val="0000EE"/>
            <w:u w:val="single"/>
          </w:rPr>
          <w:t>https://www.gartner.com/en/articles/hype-cycle-for-artificial-intelligence</w:t>
        </w:r>
      </w:hyperlink>
      <w:r>
        <w:t xml:space="preserve"> - Gartner's article, 'The 2025 Hype Cycle for Artificial Intelligence Goes Beyond GenAI', discusses the shift from the hype of generative AI to building foundational innovations responsibly. It emphasizes the importance of scaling AI with a focus on foundational innovations and provides insights into how leaders can prioritize high-impact, emerging AI techniques, navigate regulatory complexity, and scale operations effectively.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bc84b655-3c91-4efc-9191-18366173c4ca" TargetMode="External"/><Relationship Id="rId10" Type="http://schemas.openxmlformats.org/officeDocument/2006/relationships/hyperlink" Target="https://www.gartner.com/en/documents/6719134" TargetMode="External"/><Relationship Id="rId11" Type="http://schemas.openxmlformats.org/officeDocument/2006/relationships/hyperlink" Target="https://www.gartner.com/en/webinar/764837/1735244-the-gartner-hype-cycle-for-artificial-intelligence-2025" TargetMode="External"/><Relationship Id="rId12" Type="http://schemas.openxmlformats.org/officeDocument/2006/relationships/hyperlink" Target="https://www.gartner.com/en/newsroom/press-releases/2025-08-05-gartner-hype-cycle-identifies-top-ai-innovations-in-2025" TargetMode="External"/><Relationship Id="rId13" Type="http://schemas.openxmlformats.org/officeDocument/2006/relationships/hyperlink" Target="https://www.mimecast.com/es/blog/building-trust-through-action-part-one/" TargetMode="External"/><Relationship Id="rId14" Type="http://schemas.openxmlformats.org/officeDocument/2006/relationships/hyperlink" Target="https://www.gartner.com/en/articles/hype-cycle-for-artificial-intelligence" TargetMode="External"/><Relationship Id="rId15" Type="http://schemas.openxmlformats.org/officeDocument/2006/relationships/hyperlink" Target="https://www.noahwire.com" TargetMode="External"/><Relationship Id="rId16" Type="http://schemas.openxmlformats.org/officeDocument/2006/relationships/hyperlink" Target="https://www.gartner.com/en/conferences/na/symposium-us/sessions/detail/4086618-Hype-Cycle-for-Generative-AI-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