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revolutionises medical diagnosis in 2025 with specialised tools and improved accuracy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According to the original report, artificial intelligence is reshaping medical diagnosis by analysing images, biomarkers and large clinical datasets to boost sensitivity, streamline workflows and provide clinicians with rapid, actionable insights that complement , rather than replace , human expertise. </w:t>
      </w:r>
      <w:hyperlink r:id="rId9">
        <w:r>
          <w:rPr>
            <w:color w:val="0000EE"/>
            <w:u w:val="single"/>
          </w:rPr>
          <w:t>[1]</w:t>
        </w:r>
      </w:hyperlink>
      <w:r/>
    </w:p>
    <w:p>
      <w:r/>
      <w:r>
        <w:t xml:space="preserve">Clinical adoption in 2025 centres on a constellation of specialised tools: image‑first systems for mammography and retinal screening, real‑time CT/MRI triage engines, EHR‑integrated predictive models and portable point‑of‑care devices that bring interpretation to the bedside or community setting. These categories mirror the capabilities highlighted in the industry overview, which lists leading vendors and use cases now gaining traction in hospitals and clinics. </w:t>
      </w:r>
      <w:hyperlink r:id="rId9">
        <w:r>
          <w:rPr>
            <w:color w:val="0000EE"/>
            <w:u w:val="single"/>
          </w:rPr>
          <w:t>[1]</w:t>
        </w:r>
      </w:hyperlink>
      <w:r/>
    </w:p>
    <w:p>
      <w:r/>
      <w:r>
        <w:t xml:space="preserve">Google Health’s mammography work exemplifies how imaging AI is being translated into practice. According to Google Health’s programme materials and clinical partnerships, models trained on tens of thousands of de‑identified mammograms have shown performance comparable with, and in some analyses superior to, individual radiologists, with lower false‑positive and false‑negative rates reported in U.K. and U.S. test sets. Google has moved from research to licensing and clinical studies in collaboration with partners to evaluate real‑world screening workflows. </w:t>
      </w:r>
      <w:hyperlink r:id="rId10">
        <w:r>
          <w:rPr>
            <w:color w:val="0000EE"/>
            <w:u w:val="single"/>
          </w:rPr>
          <w:t>[2]</w:t>
        </w:r>
      </w:hyperlink>
      <w:hyperlink r:id="rId11">
        <w:r>
          <w:rPr>
            <w:color w:val="0000EE"/>
            <w:u w:val="single"/>
          </w:rPr>
          <w:t>[4]</w:t>
        </w:r>
      </w:hyperlink>
      <w:hyperlink r:id="rId12">
        <w:r>
          <w:rPr>
            <w:color w:val="0000EE"/>
            <w:u w:val="single"/>
          </w:rPr>
          <w:t>[3]</w:t>
        </w:r>
      </w:hyperlink>
      <w:hyperlink r:id="rId13">
        <w:r>
          <w:rPr>
            <w:color w:val="0000EE"/>
            <w:u w:val="single"/>
          </w:rPr>
          <w:t>[5]</w:t>
        </w:r>
      </w:hyperlink>
      <w:hyperlink r:id="rId14">
        <w:r>
          <w:rPr>
            <w:color w:val="0000EE"/>
            <w:u w:val="single"/>
          </w:rPr>
          <w:t>[7]</w:t>
        </w:r>
      </w:hyperlink>
      <w:r/>
    </w:p>
    <w:p>
      <w:r/>
      <w:r>
        <w:t xml:space="preserve">Other vendors cited in sector analyses provide complementary capabilities: real‑time stroke and haemorrhage flags for CT/MRI triage, AI guidance for echocardiography and handheld ultrasound, automated chest X‑ray screening for high‑volume settings, and pathology slide analysis using deep learning to improve grading consistency. Several commercial tools are already deployed across hundreds of hospitals, accelerating time‑to‑treatment in critical cases. </w:t>
      </w:r>
      <w:hyperlink r:id="rId9">
        <w:r>
          <w:rPr>
            <w:color w:val="0000EE"/>
            <w:u w:val="single"/>
          </w:rPr>
          <w:t>[1]</w:t>
        </w:r>
      </w:hyperlink>
      <w:r/>
    </w:p>
    <w:p>
      <w:r/>
      <w:r>
        <w:t xml:space="preserve">Benchmarking studies and meta‑analyses cited in the reporting place diagnostic accuracy for imaging and clinical vignettes in the mid‑70s to low‑90s percent range, with AI often matching or exceeding average physician performance for specific tasks. Industry data also indicates that algorithms are increasingly used to support roughly two‑thirds of clinicians’ decision pathways, though the figures and clinical impact depend on the task, dataset and deployment context. </w:t>
      </w:r>
      <w:hyperlink r:id="rId9">
        <w:r>
          <w:rPr>
            <w:color w:val="0000EE"/>
            <w:u w:val="single"/>
          </w:rPr>
          <w:t>[1]</w:t>
        </w:r>
      </w:hyperlink>
      <w:hyperlink r:id="rId14">
        <w:r>
          <w:rPr>
            <w:color w:val="0000EE"/>
            <w:u w:val="single"/>
          </w:rPr>
          <w:t>[7]</w:t>
        </w:r>
      </w:hyperlink>
      <w:r/>
    </w:p>
    <w:p>
      <w:r/>
      <w:r>
        <w:t xml:space="preserve">Despite the gains, the sector faces persistent challenges: patient privacy and data governance, algorithmic bias arising from unrepresentative training sets, regulatory approval pathways that vary by jurisdiction, and the need for clinical workflows that preserve clear lines of responsibility and oversight. Ethical guidance and validation studies are being prioritised alongside technical development to ensure safety and equitable outcomes. </w:t>
      </w:r>
      <w:hyperlink r:id="rId9">
        <w:r>
          <w:rPr>
            <w:color w:val="0000EE"/>
            <w:u w:val="single"/>
          </w:rPr>
          <w:t>[1]</w:t>
        </w:r>
      </w:hyperlink>
      <w:r/>
    </w:p>
    <w:p>
      <w:r/>
      <w:r>
        <w:t xml:space="preserve">Looking ahead, the most plausible near‑term trajectory is hybrid care models in which AI provides predictive analytics, triage and interpretation support while clinicians retain final judgement and patient stewardship. According to the reporting and programme partners, ongoing trials, broader regulatory review and tighter integration with EHRs will determine how rapidly AI becomes embedded in routine screening, triage and precision‑guided care. </w:t>
      </w:r>
      <w:hyperlink r:id="rId9">
        <w:r>
          <w:rPr>
            <w:color w:val="0000EE"/>
            <w:u w:val="single"/>
          </w:rPr>
          <w:t>[1]</w:t>
        </w:r>
      </w:hyperlink>
      <w:hyperlink r:id="rId10">
        <w:r>
          <w:rPr>
            <w:color w:val="0000EE"/>
            <w:u w:val="single"/>
          </w:rPr>
          <w:t>[2]</w:t>
        </w:r>
      </w:hyperlink>
      <w:hyperlink r:id="rId11">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(TechTimes) - Paragraph 1, Paragraph 2, Paragraph 4, Paragraph 5, Paragraph 6, Paragraph 7 </w:t>
      </w:r>
      <w:r/>
    </w:p>
    <w:p>
      <w:pPr>
        <w:pStyle w:val="ListBullet"/>
        <w:spacing w:line="240" w:lineRule="auto"/>
        <w:ind w:left="720"/>
      </w:pPr>
      <w:r/>
      <w:hyperlink r:id="rId10">
        <w:r>
          <w:rPr>
            <w:color w:val="0000EE"/>
            <w:u w:val="single"/>
          </w:rPr>
          <w:t>[2]</w:t>
        </w:r>
      </w:hyperlink>
      <w:r>
        <w:t xml:space="preserve"> (Google Health) - Paragraph 3, Paragraph 7 </w:t>
      </w:r>
      <w:r/>
    </w:p>
    <w:p>
      <w:pPr>
        <w:pStyle w:val="ListBullet"/>
        <w:spacing w:line="240" w:lineRule="auto"/>
        <w:ind w:left="720"/>
      </w:pPr>
      <w:r/>
      <w:hyperlink r:id="rId12">
        <w:r>
          <w:rPr>
            <w:color w:val="0000EE"/>
            <w:u w:val="single"/>
          </w:rPr>
          <w:t>[3]</w:t>
        </w:r>
      </w:hyperlink>
      <w:r>
        <w:t xml:space="preserve"> (Google Blog: iCAD partnership) - Paragraph 3 </w:t>
      </w:r>
      <w:r/>
    </w:p>
    <w:p>
      <w:pPr>
        <w:pStyle w:val="ListBullet"/>
        <w:spacing w:line="240" w:lineRule="auto"/>
        <w:ind w:left="720"/>
      </w:pPr>
      <w:r/>
      <w:hyperlink r:id="rId11">
        <w:r>
          <w:rPr>
            <w:color w:val="0000EE"/>
            <w:u w:val="single"/>
          </w:rPr>
          <w:t>[4]</w:t>
        </w:r>
      </w:hyperlink>
      <w:r>
        <w:t xml:space="preserve"> (Google Blog: improving screening) - Paragraph 3, Paragraph 7 </w:t>
      </w:r>
      <w:r/>
    </w:p>
    <w:p>
      <w:pPr>
        <w:pStyle w:val="ListBullet"/>
        <w:spacing w:line="240" w:lineRule="auto"/>
        <w:ind w:left="720"/>
      </w:pPr>
      <w:r/>
      <w:hyperlink r:id="rId13">
        <w:r>
          <w:rPr>
            <w:color w:val="0000EE"/>
            <w:u w:val="single"/>
          </w:rPr>
          <w:t>[5]</w:t>
        </w:r>
      </w:hyperlink>
      <w:r>
        <w:t xml:space="preserve"> (Google Blog: Northwestern study) - Paragraph 3 </w:t>
      </w:r>
      <w:r/>
    </w:p>
    <w:p>
      <w:pPr>
        <w:pStyle w:val="ListBullet"/>
        <w:spacing w:line="240" w:lineRule="auto"/>
        <w:ind w:left="720"/>
      </w:pPr>
      <w:r/>
      <w:hyperlink r:id="rId15">
        <w:r>
          <w:rPr>
            <w:color w:val="0000EE"/>
            <w:u w:val="single"/>
          </w:rPr>
          <w:t>[6]</w:t>
        </w:r>
      </w:hyperlink>
      <w:r>
        <w:t xml:space="preserve"> (Google Health: ARDA/LYNA) - Paragraph 4 </w:t>
      </w:r>
      <w:r/>
    </w:p>
    <w:p>
      <w:pPr>
        <w:pStyle w:val="ListBullet"/>
        <w:spacing w:line="240" w:lineRule="auto"/>
        <w:ind w:left="720"/>
      </w:pPr>
      <w:r/>
      <w:hyperlink r:id="rId14">
        <w:r>
          <w:rPr>
            <w:color w:val="0000EE"/>
            <w:u w:val="single"/>
          </w:rPr>
          <w:t>[7]</w:t>
        </w:r>
      </w:hyperlink>
      <w:r>
        <w:t xml:space="preserve"> (VentureBeat) - Paragraph 3,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https://www.techtimes.com/articles/313148/20251204/ai-healthcare-diagnosis-2025-medical-ai-tools-revolutionizing-accuracy.htm</w:t>
        </w:r>
      </w:hyperlink>
      <w:r>
        <w:t xml:space="preserve"> - Please view link - unable to able to access data</w:t>
      </w:r>
      <w:r/>
    </w:p>
    <w:p>
      <w:pPr>
        <w:pStyle w:val="ListNumber"/>
        <w:spacing w:line="240" w:lineRule="auto"/>
        <w:ind w:left="720"/>
      </w:pPr>
      <w:r/>
      <w:hyperlink r:id="rId10">
        <w:r>
          <w:rPr>
            <w:color w:val="0000EE"/>
            <w:u w:val="single"/>
          </w:rPr>
          <w:t>https://health.google/mammography/</w:t>
        </w:r>
      </w:hyperlink>
      <w:r>
        <w:t xml:space="preserve"> - Google Health is developing an AI system to enhance breast cancer detection through mammography. By training on thousands of de-identified mammograms, the AI model aims to identify signs of cancer with accuracy comparable to trained radiologists. This technology seeks to assist clinicians by highlighting subtle anomalies that might be missed during routine reviews, thereby improving early detection and patient outcomes. Collaborations with institutions like Northwestern Medicine and Imperial College London are underway to integrate this AI into clinical practice, ensuring inclusivity across diverse demographics.</w:t>
      </w:r>
      <w:r/>
    </w:p>
    <w:p>
      <w:pPr>
        <w:pStyle w:val="ListNumber"/>
        <w:spacing w:line="240" w:lineRule="auto"/>
        <w:ind w:left="720"/>
      </w:pPr>
      <w:r/>
      <w:hyperlink r:id="rId12">
        <w:r>
          <w:rPr>
            <w:color w:val="0000EE"/>
            <w:u w:val="single"/>
          </w:rPr>
          <w:t>https://blog.google/technology/ai/icad-partnership-breast-cancer-screening/</w:t>
        </w:r>
      </w:hyperlink>
      <w:r>
        <w:t xml:space="preserve"> - In November 2022, Google Health partnered with iCAD, a leader in medical technology, to license its mammography AI research model. This collaboration marks the first integration of Google's AI technology into real-world clinical practice, aiming to improve breast cancer detection and assessment. The partnership seeks to enhance screening accuracy, reduce false positives and negatives, and ultimately improve patient outcomes by providing clinicians with advanced tools for early detection and diagnosis.</w:t>
      </w:r>
      <w:r/>
    </w:p>
    <w:p>
      <w:pPr>
        <w:pStyle w:val="ListNumber"/>
        <w:spacing w:line="240" w:lineRule="auto"/>
        <w:ind w:left="720"/>
      </w:pPr>
      <w:r/>
      <w:hyperlink r:id="rId11">
        <w:r>
          <w:rPr>
            <w:color w:val="0000EE"/>
            <w:u w:val="single"/>
          </w:rPr>
          <w:t>https://blog.google/technology/health/improving-breast-cancer-screening/</w:t>
        </w:r>
      </w:hyperlink>
      <w:r>
        <w:t xml:space="preserve"> - Google Health, in collaboration with leading clinical research partners in the U.K. and U.S., has developed an AI model that outperforms human experts in detecting breast cancer from mammograms. Trained on a dataset of over 76,000 women in the U.K. and more than 15,000 in the U.S., the AI system demonstrated greater accuracy, fewer false positives, and fewer false negatives compared to individual clinicians. This advancement aims to support radiologists in early detection, potentially reducing wait times and improving patient care.</w:t>
      </w:r>
      <w:r/>
    </w:p>
    <w:p>
      <w:pPr>
        <w:pStyle w:val="ListNumber"/>
        <w:spacing w:line="240" w:lineRule="auto"/>
        <w:ind w:left="720"/>
      </w:pPr>
      <w:r/>
      <w:hyperlink r:id="rId13">
        <w:r>
          <w:rPr>
            <w:color w:val="0000EE"/>
            <w:u w:val="single"/>
          </w:rPr>
          <w:t>https://blog.google/technology/health/artificial-intelligence-breast-cancer-screening/</w:t>
        </w:r>
      </w:hyperlink>
      <w:r>
        <w:t xml:space="preserve"> - Google Health is collaborating with Northwestern Medicine on a clinical research study to explore whether AI models can expedite breast cancer diagnosis during screening. The study involves reviewing mammograms with an investigational AI model that flags scans with a higher likelihood of breast cancer for immediate review by a radiologist. This approach aims to reduce the time from screening to diagnosis, narrowing the assessment gap and enhancing the patient experience by facilitating quicker and more accurate detection.</w:t>
      </w:r>
      <w:r/>
    </w:p>
    <w:p>
      <w:pPr>
        <w:pStyle w:val="ListNumber"/>
        <w:spacing w:line="240" w:lineRule="auto"/>
        <w:ind w:left="720"/>
      </w:pPr>
      <w:r/>
      <w:hyperlink r:id="rId15">
        <w:r>
          <w:rPr>
            <w:color w:val="0000EE"/>
            <w:u w:val="single"/>
          </w:rPr>
          <w:t>https://health.google/caregivers/arda/</w:t>
        </w:r>
      </w:hyperlink>
      <w:r>
        <w:t xml:space="preserve"> - Google Health's AI Imaging &amp; Diagnostics division focuses on applying deep learning to various medical imaging challenges. Notably, the LYNA (Lymph Node Assistant) tool utilizes deep learning to increase the accuracy of metastatic breast cancer detection. Published in the Archives of Pathology &amp; Laboratory Medicine and The American Journal of Surgical Pathology, this research demonstrates the potential of AI to assist pathologists in identifying cancerous cells and grading tissue samples with high accuracy, thereby enhancing diagnostic consistency and speed.</w:t>
      </w:r>
      <w:r/>
    </w:p>
    <w:p>
      <w:pPr>
        <w:pStyle w:val="ListNumber"/>
        <w:spacing w:line="240" w:lineRule="auto"/>
        <w:ind w:left="720"/>
      </w:pPr>
      <w:r/>
      <w:hyperlink r:id="rId14">
        <w:r>
          <w:rPr>
            <w:color w:val="0000EE"/>
            <w:u w:val="single"/>
          </w:rPr>
          <w:t>https://venturebeat.com/ai/google-healths-ai-identifies-breast-cancer-in-mammogram-imagery-with-fewer-false-positives/</w:t>
        </w:r>
      </w:hyperlink>
      <w:r>
        <w:t xml:space="preserve"> - Google Health's AI model, trained on over 90,000 mammogram X-rays, has demonstrated superior performance compared to human radiologists. The model achieved lower rates of false positives (5.7% in the U.S. and 1.2% in the U.K.) and false negatives (9.4% in the U.S. and 2.7% in the U.K.). This collaboration with DeepMind, Cancer Research UK, Northwestern University, and Royal Surrey County Hospital highlights the potential of AI to enhance breast cancer detection accuracy and efficiency, supporting clinicians in early diagnosis.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times.com/articles/313148/20251204/ai-healthcare-diagnosis-2025-medical-ai-tools-revolutionizing-accuracy.htm" TargetMode="External"/><Relationship Id="rId10" Type="http://schemas.openxmlformats.org/officeDocument/2006/relationships/hyperlink" Target="https://health.google/mammography/" TargetMode="External"/><Relationship Id="rId11" Type="http://schemas.openxmlformats.org/officeDocument/2006/relationships/hyperlink" Target="https://blog.google/technology/health/improving-breast-cancer-screening/" TargetMode="External"/><Relationship Id="rId12" Type="http://schemas.openxmlformats.org/officeDocument/2006/relationships/hyperlink" Target="https://blog.google/technology/ai/icad-partnership-breast-cancer-screening/" TargetMode="External"/><Relationship Id="rId13" Type="http://schemas.openxmlformats.org/officeDocument/2006/relationships/hyperlink" Target="https://blog.google/technology/health/artificial-intelligence-breast-cancer-screening/" TargetMode="External"/><Relationship Id="rId14" Type="http://schemas.openxmlformats.org/officeDocument/2006/relationships/hyperlink" Target="https://venturebeat.com/ai/google-healths-ai-identifies-breast-cancer-in-mammogram-imagery-with-fewer-false-positives/" TargetMode="External"/><Relationship Id="rId15" Type="http://schemas.openxmlformats.org/officeDocument/2006/relationships/hyperlink" Target="https://health.google/caregivers/ard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