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Broadcom’s coming earnings test exceeds valuations amid AI growth optimism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Broadcom remains at the centre of the AI and cloud‑infrastructure story as it heads into a high‑stakes earnings report on 11 December 2025, with the shares trading just shy of record highs after a year in which the stock more than doubled and the company’s market capitalisation approached roughly $1.8tn.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Investors are balancing powerful AI tailwinds , custom accelerators and networking designed for hyperscalers , against a stretched valuation: the stock is trading near its 12‑month peak, with trailing P/E and PEG metrics that sit well above typical semiconductor peers. That duality has turned Broadcom into both a core holding for AI‑focused portfolios and a poster child for “growth priced for perfection.”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Near‑term sentiment is being driven by fresh analyst upgrades and model flows. Bank of America and several large brokers have lifted price targets amid reports that Broadcom is a key design partner for Google’s TPU ecosystem and that AI accelerators tied to those projects are commanding multi‑thousand‑dollar unit prices. Quant models show mixed short‑term signals while projecting modest upside over one month and potential mean reversion over longer horizons. </w:t>
      </w:r>
      <w:r/>
    </w:p>
    <w:p>
      <w:r/>
      <w:r>
        <w:t>Operationally, Broadcom’s recent quarters have shown rapid revenue and earnings expansion, and Street models expect another strong Q4: consensus estimates point to high‑teens to mid‑20s revenue growth, with semiconductor AI sales growing substantially year‑over‑year and infrastructure‑software (largely VMware) contributing a material, higher‑margin share of revenue. Management’s commentary on AI backlog conversion and VMware margins will be the primary market catalyst on 11 December. [TechStock²+1]</w:t>
      </w:r>
      <w:r/>
    </w:p>
    <w:p>
      <w:r/>
      <w:r>
        <w:t xml:space="preserve">The OpenAI and Google relationships have become central to the bull case. Reporting in recent months tied a reported $10bn chip order and multi‑year custom‑accelerator collaborations to OpenAI and confirmed Broadcom’s role supplying interconnect and switching products such as the Thor Ultra family , all elements underpinning analyst scenarios that project AI‑related revenue rising markedly by 2027. Those partnerships, however, also concentrate risk around a small set of hyperscaler customers. </w:t>
      </w:r>
      <w:r/>
    </w:p>
    <w:p>
      <w:r/>
      <w:r>
        <w:t xml:space="preserve">VMware’s integration has materially reshaped Broadcom’s revenue mix, delivering higher recurring margins but also attracting channel pushback and regulatory attention. Recent product simplification and subscription licensing changes (including the rollout of VMware Cloud Foundation 9.0 and a reworked partner programme emphasising VCF adoption) aim to steer customers to full‑stack private‑cloud deployments , an effort Broadcom presents as strategic but that some partners warn may raise costs and push customers to alternatives. </w:t>
      </w:r>
      <w:r/>
    </w:p>
    <w:p>
      <w:r/>
      <w:r>
        <w:t>Market risks are clear and well rehearsed: valuation sensitivity if AI spending cools, customer concentration among a handful of hyperscalers, intensifying competition in AI silicon and networking, and reputational or regulatory fallout from VMware pricing and partner changes in regions such as Europe. Any conservative guidance on the upcoming call would likely trigger a meaningful re‑rating given how much future growth is already priced in. [TechStock²+2]</w:t>
      </w:r>
      <w:r/>
    </w:p>
    <w:p>
      <w:r/>
      <w:r>
        <w:t xml:space="preserve">Institutional flows suggest both conviction and profit‑taking: large funds have rotated positions, insiders have been net sellers over recent months, and advisors continue to add Broadcom for clients who want AI exposure , all consistent with a tightly held stock where liquidity events produce noticeable moves. Technical and quant signals point to an ongoing uptrend but with heightened near‑term volatility ahead of earnings. </w:t>
      </w:r>
      <w:r/>
    </w:p>
    <w:p>
      <w:r/>
      <w:r>
        <w:t xml:space="preserve">For investors and analysts, the immediate questions before the 11 December report are straightforward: can Broadcom sustain the ~60–70% AI‑segment growth the market models for Q4; will management update backlog, TAM or visibility tied to the reported Google/OpenAI engagements; and does VMware‑related revenue and guidance justify the premium multiple? Answers to those questions will determine whether the rally is extended or pauses for reassessment.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(TS2.Tech / original roundup) - Paragraph 1, Paragraph 2, Paragraph 3, Paragraph 4, Paragraph 5, Paragraph 8, Paragraph 9 </w:t>
      </w:r>
      <w:r/>
    </w:p>
    <w:p>
      <w:pPr>
        <w:pStyle w:val="ListBullet"/>
        <w:spacing w:line="240" w:lineRule="auto"/>
        <w:ind w:left="720"/>
      </w:pPr>
      <w:r/>
      <w:hyperlink r:id="rId10">
        <w:r>
          <w:rPr>
            <w:color w:val="0000EE"/>
            <w:u w:val="single"/>
          </w:rPr>
          <w:t>[2]</w:t>
        </w:r>
      </w:hyperlink>
      <w:r>
        <w:t xml:space="preserve"> (MarketBeat) - Paragraph 1, Paragraph 2, Paragraph 8 </w:t>
      </w:r>
      <w:r/>
    </w:p>
    <w:p>
      <w:pPr>
        <w:pStyle w:val="ListBullet"/>
        <w:spacing w:line="240" w:lineRule="auto"/>
        <w:ind w:left="720"/>
      </w:pPr>
      <w:r/>
      <w:hyperlink r:id="rId11">
        <w:r>
          <w:rPr>
            <w:color w:val="0000EE"/>
            <w:u w:val="single"/>
          </w:rPr>
          <w:t>[3]</w:t>
        </w:r>
      </w:hyperlink>
      <w:r>
        <w:t xml:space="preserve"> (StockTitan) - Paragraph 1, Paragraph 4, Paragraph 6 </w:t>
      </w:r>
      <w:r/>
    </w:p>
    <w:p>
      <w:pPr>
        <w:pStyle w:val="ListBullet"/>
        <w:spacing w:line="240" w:lineRule="auto"/>
        <w:ind w:left="720"/>
      </w:pPr>
      <w:r/>
      <w:hyperlink r:id="rId12">
        <w:r>
          <w:rPr>
            <w:color w:val="0000EE"/>
            <w:u w:val="single"/>
          </w:rPr>
          <w:t>[4]</w:t>
        </w:r>
      </w:hyperlink>
      <w:r>
        <w:t xml:space="preserve"> (InsiderMonkey / valuation data) - Paragraph 2, Paragraph 7 </w:t>
      </w:r>
      <w:r/>
    </w:p>
    <w:p>
      <w:pPr>
        <w:pStyle w:val="ListBullet"/>
        <w:spacing w:line="240" w:lineRule="auto"/>
        <w:ind w:left="720"/>
      </w:pPr>
      <w:r/>
      <w:r>
        <w:t xml:space="preserve">(InsiderMonkey / BofA note) - Paragraph 3 </w:t>
      </w:r>
      <w:r/>
    </w:p>
    <w:p>
      <w:pPr>
        <w:pStyle w:val="ListBullet"/>
        <w:spacing w:line="240" w:lineRule="auto"/>
        <w:ind w:left="720"/>
      </w:pPr>
      <w:r/>
      <w:r>
        <w:t xml:space="preserve">(InsiderMonkey / Google TPU role) - Paragraph 3, Paragraph 5 </w:t>
      </w:r>
      <w:r/>
    </w:p>
    <w:p>
      <w:pPr>
        <w:pStyle w:val="ListBullet"/>
        <w:spacing w:line="240" w:lineRule="auto"/>
        <w:ind w:left="720"/>
      </w:pPr>
      <w:r/>
      <w:r>
        <w:t xml:space="preserve">(InsiderMonkey / Gemini/TPU reporting) - Paragraph 3, Paragraph 5 </w:t>
      </w:r>
      <w:r/>
    </w:p>
    <w:p>
      <w:pPr>
        <w:pStyle w:val="ListBullet"/>
        <w:spacing w:line="240" w:lineRule="auto"/>
        <w:ind w:left="720"/>
      </w:pPr>
      <w:r/>
      <w:r>
        <w:t xml:space="preserve">(InsiderMonkey / unit‑price estimates) - Paragraph 3, Paragraph 5 </w:t>
      </w:r>
      <w:r/>
    </w:p>
    <w:p>
      <w:pPr>
        <w:pStyle w:val="ListBullet"/>
        <w:spacing w:line="240" w:lineRule="auto"/>
        <w:ind w:left="720"/>
      </w:pPr>
      <w:r/>
      <w:r>
        <w:t xml:space="preserve">(IG Q4 preview) - Paragraph 4, Paragraph 9 </w:t>
      </w:r>
      <w:r/>
    </w:p>
    <w:p>
      <w:pPr>
        <w:pStyle w:val="ListBullet"/>
        <w:spacing w:line="240" w:lineRule="auto"/>
        <w:ind w:left="720"/>
      </w:pPr>
      <w:r/>
      <w:r>
        <w:t xml:space="preserve">(Reuters / OpenAI collaboration reporting) - Paragraph 5 </w:t>
      </w:r>
      <w:r/>
    </w:p>
    <w:p>
      <w:pPr>
        <w:pStyle w:val="ListBullet"/>
        <w:spacing w:line="240" w:lineRule="auto"/>
        <w:ind w:left="720"/>
      </w:pPr>
      <w:r/>
      <w:r>
        <w:t xml:space="preserve">(Reuters / $10bn order coverage) - Paragraph 5 </w:t>
      </w:r>
      <w:r/>
    </w:p>
    <w:p>
      <w:pPr>
        <w:pStyle w:val="ListBullet"/>
        <w:spacing w:line="240" w:lineRule="auto"/>
        <w:ind w:left="720"/>
      </w:pPr>
      <w:r/>
      <w:r>
        <w:t xml:space="preserve">(Reuters / Thor Ultra networking chip) - Paragraph 5 </w:t>
      </w:r>
      <w:r/>
    </w:p>
    <w:p>
      <w:pPr>
        <w:pStyle w:val="ListBullet"/>
        <w:spacing w:line="240" w:lineRule="auto"/>
        <w:ind w:left="720"/>
      </w:pPr>
      <w:r/>
      <w:r>
        <w:t xml:space="preserve">(Reuters / analyst AI‑revenue scenarios) - Paragraph 5 </w:t>
      </w:r>
      <w:r/>
    </w:p>
    <w:p>
      <w:pPr>
        <w:pStyle w:val="ListBullet"/>
        <w:spacing w:line="240" w:lineRule="auto"/>
        <w:ind w:left="720"/>
      </w:pPr>
      <w:r/>
      <w:r>
        <w:t xml:space="preserve">(MarketBeat / most recent quarter data) - Paragraph 4 </w:t>
      </w:r>
      <w:r/>
    </w:p>
    <w:p>
      <w:pPr>
        <w:pStyle w:val="ListBullet"/>
        <w:spacing w:line="240" w:lineRule="auto"/>
        <w:ind w:left="720"/>
      </w:pPr>
      <w:r/>
      <w:r>
        <w:t xml:space="preserve">(MarketBeat / analyst EPS forecasts) - Paragraph 4 </w:t>
      </w:r>
      <w:r/>
    </w:p>
    <w:p>
      <w:pPr>
        <w:pStyle w:val="ListBullet"/>
        <w:spacing w:line="240" w:lineRule="auto"/>
        <w:ind w:left="720"/>
      </w:pPr>
      <w:r/>
      <w:r>
        <w:t xml:space="preserve">(Boxxe / product simplification summary) - Paragraph 6 </w:t>
      </w:r>
      <w:r/>
    </w:p>
    <w:p>
      <w:pPr>
        <w:pStyle w:val="ListBullet"/>
        <w:spacing w:line="240" w:lineRule="auto"/>
        <w:ind w:left="720"/>
      </w:pPr>
      <w:r/>
      <w:r>
        <w:t xml:space="preserve">(Boxxe / VCF bundling description) - Paragraph 6 </w:t>
      </w:r>
      <w:r/>
    </w:p>
    <w:p>
      <w:pPr>
        <w:pStyle w:val="ListBullet"/>
        <w:spacing w:line="240" w:lineRule="auto"/>
        <w:ind w:left="720"/>
      </w:pPr>
      <w:r/>
      <w:r>
        <w:t xml:space="preserve">(Boxxe / licensing structure) - Paragraph 6 </w:t>
      </w:r>
      <w:r/>
    </w:p>
    <w:p>
      <w:pPr>
        <w:pStyle w:val="ListBullet"/>
        <w:spacing w:line="240" w:lineRule="auto"/>
        <w:ind w:left="720"/>
      </w:pPr>
      <w:r/>
      <w:r>
        <w:t xml:space="preserve">(Intelisys / channel feedback) - Paragraph 6 </w:t>
      </w:r>
      <w:r/>
    </w:p>
    <w:p>
      <w:pPr>
        <w:pStyle w:val="ListBullet"/>
        <w:spacing w:line="240" w:lineRule="auto"/>
        <w:ind w:left="720"/>
      </w:pPr>
      <w:r/>
      <w:r>
        <w:t xml:space="preserve">(Broadcom news release / Advantage programme) - Paragraph 6 </w:t>
      </w:r>
      <w:r/>
    </w:p>
    <w:p>
      <w:pPr>
        <w:pStyle w:val="ListBullet"/>
        <w:spacing w:line="240" w:lineRule="auto"/>
        <w:ind w:left="720"/>
      </w:pPr>
      <w:r/>
      <w:r>
        <w:t xml:space="preserve">(Broadcom news release / partner incentives) - Paragraph 6 </w:t>
      </w:r>
      <w:r/>
    </w:p>
    <w:p>
      <w:pPr>
        <w:pStyle w:val="ListBullet"/>
        <w:spacing w:line="240" w:lineRule="auto"/>
        <w:ind w:left="720"/>
      </w:pPr>
      <w:r/>
      <w:r>
        <w:t xml:space="preserve">(Broadcom news release / certification emphasis) - Paragraph 6 </w:t>
      </w:r>
      <w:r/>
    </w:p>
    <w:p>
      <w:pPr>
        <w:pStyle w:val="ListBullet"/>
        <w:spacing w:line="240" w:lineRule="auto"/>
        <w:ind w:left="720"/>
      </w:pPr>
      <w:r/>
      <w:r>
        <w:t xml:space="preserve">(CoinCodex / algorithmic forecasts) - Paragraph 3, Paragraph 8 </w:t>
      </w:r>
      <w:r/>
    </w:p>
    <w:p>
      <w:pPr>
        <w:pStyle w:val="ListBullet"/>
        <w:spacing w:line="240" w:lineRule="auto"/>
        <w:ind w:left="720"/>
      </w:pPr>
      <w:r/>
      <w:r>
        <w:t xml:space="preserve">(CoinCodex / technical indicators) - Paragraph 3, Paragraph 8 </w:t>
      </w:r>
      <w:r/>
    </w:p>
    <w:p>
      <w:pPr>
        <w:pStyle w:val="ListBullet"/>
        <w:spacing w:line="240" w:lineRule="auto"/>
        <w:ind w:left="720"/>
      </w:pPr>
      <w:r/>
      <w:r>
        <w:t xml:space="preserve">(MarketBeat / institutional and insider flows) - Paragraph 8 </w:t>
      </w:r>
      <w:r/>
    </w:p>
    <w:p>
      <w:pPr>
        <w:pStyle w:val="ListBullet"/>
        <w:spacing w:line="240" w:lineRule="auto"/>
        <w:ind w:left="720"/>
      </w:pPr>
      <w:r/>
      <w:r>
        <w:t xml:space="preserve">(MarketBeat / valuation risk discussion) - Paragraph 2, Paragraph 7 </w:t>
      </w:r>
      <w:r/>
    </w:p>
    <w:p>
      <w:pPr>
        <w:pStyle w:val="ListBullet"/>
        <w:spacing w:line="240" w:lineRule="auto"/>
        <w:ind w:left="720"/>
      </w:pPr>
      <w:r/>
      <w:r>
        <w:t xml:space="preserve">(Reuters / competition and M&amp;A context) - Paragraph 7 </w:t>
      </w:r>
      <w:r/>
    </w:p>
    <w:p>
      <w:pPr>
        <w:pStyle w:val="ListBullet"/>
        <w:spacing w:line="240" w:lineRule="auto"/>
        <w:ind w:left="720"/>
      </w:pPr>
      <w:r/>
      <w:r>
        <w:t xml:space="preserve">(OpenAI / partnership context) - Paragraph 9 </w:t>
      </w:r>
      <w:r/>
    </w:p>
    <w:p>
      <w:pPr>
        <w:pStyle w:val="ListBullet"/>
        <w:spacing w:line="240" w:lineRule="auto"/>
        <w:ind w:left="720"/>
      </w:pPr>
      <w:r/>
      <w:r>
        <w:t>(StockTitan / VCF traction example) -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https://ts2.tech/en/broadcom-avgo-stock-on-december-4-2025-ai-supercycle-vmware-shake%E2%80%91up-and-the-q4-earnings-countdown/</w:t>
        </w:r>
      </w:hyperlink>
      <w:r>
        <w:t xml:space="preserve"> - Please view link - unable to able to access data</w:t>
      </w:r>
      <w:r/>
    </w:p>
    <w:p>
      <w:pPr>
        <w:pStyle w:val="ListNumber"/>
        <w:spacing w:line="240" w:lineRule="auto"/>
        <w:ind w:left="720"/>
      </w:pPr>
      <w:r/>
      <w:hyperlink r:id="rId10">
        <w:r>
          <w:rPr>
            <w:color w:val="0000EE"/>
            <w:u w:val="single"/>
          </w:rPr>
          <w:t>https://www.marketbeat.com</w:t>
        </w:r>
      </w:hyperlink>
      <w:r>
        <w:t xml:space="preserve"> - MarketBeat provides comprehensive financial data, including stock performance, earnings reports, and market analysis. It offers insights into company valuations, market capitalisation, and trading volumes, assisting investors in making informed decisions. The platform also features news updates and forecasts, keeping users abreast of market trends and developments.</w:t>
      </w:r>
      <w:r/>
    </w:p>
    <w:p>
      <w:pPr>
        <w:pStyle w:val="ListNumber"/>
        <w:spacing w:line="240" w:lineRule="auto"/>
        <w:ind w:left="720"/>
      </w:pPr>
      <w:r/>
      <w:hyperlink r:id="rId11">
        <w:r>
          <w:rPr>
            <w:color w:val="0000EE"/>
            <w:u w:val="single"/>
          </w:rPr>
          <w:t>https://www.stocktitan.net</w:t>
        </w:r>
      </w:hyperlink>
      <w:r>
        <w:t xml:space="preserve"> - StockTitan delivers real-time stock market data, financial news, and analysis. It covers a wide range of companies, offering detailed information on stock prices, market capitalisation, and trading volumes. The platform also provides insights into company valuations and recent market movements, aiding investors in tracking stock performance.</w:t>
      </w:r>
      <w:r/>
    </w:p>
    <w:p>
      <w:pPr>
        <w:pStyle w:val="ListNumber"/>
        <w:spacing w:line="240" w:lineRule="auto"/>
        <w:ind w:left="720"/>
      </w:pPr>
      <w:r/>
      <w:hyperlink r:id="rId12">
        <w:r>
          <w:rPr>
            <w:color w:val="0000EE"/>
            <w:u w:val="single"/>
          </w:rPr>
          <w:t>https://www.insidermonkey.com</w:t>
        </w:r>
      </w:hyperlink>
      <w:r>
        <w:t xml:space="preserve"> - Insider Monkey is a financial news and analysis platform that tracks hedge fund and insider activity. It offers insights into stock performance, market trends, and investment strategies. The platform provides data on stock prices, market capitalisation, and trading volumes, assisting investors in understanding market dynamics and making informed decisions.</w:t>
      </w:r>
      <w:r/>
    </w:p>
    <w:p>
      <w:pPr>
        <w:pStyle w:val="ListNumber"/>
        <w:spacing w:line="240" w:lineRule="auto"/>
        <w:ind w:left="720"/>
      </w:pPr>
      <w:r/>
      <w:hyperlink r:id="rId14">
        <w:r>
          <w:rPr>
            <w:color w:val="0000EE"/>
            <w:u w:val="single"/>
          </w:rPr>
          <w:t>https://www.ig.com</w:t>
        </w:r>
      </w:hyperlink>
      <w:r>
        <w:t xml:space="preserve"> - IG is a global online trading platform offering access to various financial markets, including stocks, forex, and commodities. It provides real-time market data, trading tools, and educational resources. The platform offers insights into stock performance, market capitalisation, and trading volumes, assisting investors in making informed trading decisions.</w:t>
      </w:r>
      <w:r/>
    </w:p>
    <w:p>
      <w:pPr>
        <w:pStyle w:val="ListNumber"/>
        <w:spacing w:line="240" w:lineRule="auto"/>
        <w:ind w:left="720"/>
      </w:pPr>
      <w:r/>
      <w:hyperlink r:id="rId15">
        <w:r>
          <w:rPr>
            <w:color w:val="0000EE"/>
            <w:u w:val="single"/>
          </w:rPr>
          <w:t>https://www.reuters.com</w:t>
        </w:r>
      </w:hyperlink>
      <w:r>
        <w:t xml:space="preserve"> - Reuters is a global news organisation providing real-time news, financial data, and market analysis. It covers a wide range of topics, including business, finance, and technology. The platform offers insights into stock performance, market capitalisation, and trading volumes, assisting investors in staying informed about market developments.</w:t>
      </w:r>
      <w:r/>
    </w:p>
    <w:p>
      <w:pPr>
        <w:pStyle w:val="ListNumber"/>
        <w:spacing w:line="240" w:lineRule="auto"/>
        <w:ind w:left="720"/>
      </w:pPr>
      <w:r/>
      <w:hyperlink r:id="rId16">
        <w:r>
          <w:rPr>
            <w:color w:val="0000EE"/>
            <w:u w:val="single"/>
          </w:rPr>
          <w:t>https://www.fool.com</w:t>
        </w:r>
      </w:hyperlink>
      <w:r>
        <w:t xml:space="preserve"> - The Motley Fool is a financial advice and investment research platform offering stock recommendations, market analysis, and personal finance tips. It provides insights into stock performance, market trends, and investment strategies, assisting investors in making informed decisions and understanding market dynamics.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broadcom-avgo-stock-on-december-4-2025-ai-supercycle-vmware-shake%E2%80%91up-and-the-q4-earnings-countdown/" TargetMode="External"/><Relationship Id="rId10" Type="http://schemas.openxmlformats.org/officeDocument/2006/relationships/hyperlink" Target="https://www.marketbeat.com" TargetMode="External"/><Relationship Id="rId11" Type="http://schemas.openxmlformats.org/officeDocument/2006/relationships/hyperlink" Target="https://www.stocktitan.net" TargetMode="External"/><Relationship Id="rId12" Type="http://schemas.openxmlformats.org/officeDocument/2006/relationships/hyperlink" Target="https://www.insidermonkey.com" TargetMode="External"/><Relationship Id="rId13" Type="http://schemas.openxmlformats.org/officeDocument/2006/relationships/hyperlink" Target="https://www.noahwire.com" TargetMode="External"/><Relationship Id="rId14" Type="http://schemas.openxmlformats.org/officeDocument/2006/relationships/hyperlink" Target="https://www.ig.com" TargetMode="External"/><Relationship Id="rId15" Type="http://schemas.openxmlformats.org/officeDocument/2006/relationships/hyperlink" Target="https://www.reuters.com" TargetMode="External"/><Relationship Id="rId16" Type="http://schemas.openxmlformats.org/officeDocument/2006/relationships/hyperlink" Target="https://www.fo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