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Clearwater Analytics accelerates AI-driven transformation with strategic acquisitions and innovative risk analytics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Clearwater Analytics is steering a rapid transformation in how institutional investors collect, verify and act on investment data, pushing enterprise software beyond efficiency into intelligence at scale. According to the original report hosted by Joseph Coletti, CEO Sandeep Sahai says automated investment management, performance measurement and risk analytics are becoming critical components of modern investment infrastructure. </w:t>
      </w:r>
      <w:hyperlink r:id="rId9">
        <w:r>
          <w:rPr>
            <w:color w:val="0000EE"/>
            <w:u w:val="single"/>
          </w:rPr>
          <w:t>[1]</w:t>
        </w:r>
      </w:hyperlink>
      <w:hyperlink r:id="rId9">
        <w:r>
          <w:rPr>
            <w:color w:val="0000EE"/>
            <w:u w:val="single"/>
          </w:rPr>
          <w:t>[4]</w:t>
        </w:r>
      </w:hyperlink>
      <w:r/>
    </w:p>
    <w:p>
      <w:r/>
      <w:r>
        <w:t xml:space="preserve">Sahai argues the growing importance of alternatives , private credit and other less standardised asset classes , is accelerating the need for tech that can ingest fragmented data and produce timely insight. “It takes roughly seven times the processing and human power to tackle $1bn of alternative assets versus $1bn of equities,” he told RBC CM. </w:t>
      </w:r>
      <w:hyperlink r:id="rId9">
        <w:r>
          <w:rPr>
            <w:color w:val="0000EE"/>
            <w:u w:val="single"/>
          </w:rPr>
          <w:t>[1]</w:t>
        </w:r>
      </w:hyperlink>
      <w:hyperlink r:id="rId9">
        <w:r>
          <w:rPr>
            <w:color w:val="0000EE"/>
            <w:u w:val="single"/>
          </w:rPr>
          <w:t>[4]</w:t>
        </w:r>
      </w:hyperlink>
      <w:r/>
    </w:p>
    <w:p>
      <w:r/>
      <w:r>
        <w:t xml:space="preserve">Generative AI is central to Clearwater’s strategy to increase analyst productivity and speed decision-making. Sahai told RBC CM: “Generative AI allows you to sift through vast quantities of data and provides analysis for you – it can’t replace the analyst but can make them twenty times more efficient.” He also framed AI as a rapidly improving first line of defence in data verification, citing Clearwater’s C1 GenAI as a tool that lets investors query reports and receive instant assessments rather than follow slower manual routes. </w:t>
      </w:r>
      <w:hyperlink r:id="rId9">
        <w:r>
          <w:rPr>
            <w:color w:val="0000EE"/>
            <w:u w:val="single"/>
          </w:rPr>
          <w:t>[1]</w:t>
        </w:r>
      </w:hyperlink>
      <w:hyperlink r:id="rId9">
        <w:r>
          <w:rPr>
            <w:color w:val="0000EE"/>
            <w:u w:val="single"/>
          </w:rPr>
          <w:t>[4]</w:t>
        </w:r>
      </w:hyperlink>
      <w:r/>
    </w:p>
    <w:p>
      <w:r/>
      <w:r>
        <w:t xml:space="preserve">Sahai stresses a pragmatic approach to AI deployment: pursue short-term projects with measurable returns, build consensus and avoid chasing technology for its own sake. “Building consensus and aiming for a clear-cut return in a meaningful time horizon is crucial to sustaining a generative AI program,” he said. He also warned against waiting for perfection: “Even if 40% of the time you’re right, clients are much happier.” </w:t>
      </w:r>
      <w:hyperlink r:id="rId9">
        <w:r>
          <w:rPr>
            <w:color w:val="0000EE"/>
            <w:u w:val="single"/>
          </w:rPr>
          <w:t>[1]</w:t>
        </w:r>
      </w:hyperlink>
      <w:hyperlink r:id="rId9">
        <w:r>
          <w:rPr>
            <w:color w:val="0000EE"/>
            <w:u w:val="single"/>
          </w:rPr>
          <w:t>[4]</w:t>
        </w:r>
      </w:hyperlink>
      <w:r/>
    </w:p>
    <w:p>
      <w:r/>
      <w:r>
        <w:t xml:space="preserve">Clearwater has sought to turn those strategy statements into product reality through acquisitions that stitch together front, middle and back office capabilities. The company completed its purchase of Enfusion , a portfolio and order management, IBOR and front-office SaaS provider , in a roughly $1.5bn deal that Clearwater said creates the industry’s first single-instance, multi-tenant, cloud-native platform to unify front, middle and back-office operations. According to the announcement, the combination is intended to remove fragmented workflows and accelerate data-driven decision-making. </w:t>
      </w:r>
      <w:hyperlink r:id="rId10">
        <w:r>
          <w:rPr>
            <w:color w:val="0000EE"/>
            <w:u w:val="single"/>
          </w:rPr>
          <w:t>[2]</w:t>
        </w:r>
      </w:hyperlink>
      <w:hyperlink r:id="rId10">
        <w:r>
          <w:rPr>
            <w:color w:val="0000EE"/>
            <w:u w:val="single"/>
          </w:rPr>
          <w:t>[5]</w:t>
        </w:r>
      </w:hyperlink>
      <w:r/>
    </w:p>
    <w:p>
      <w:r/>
      <w:r>
        <w:t xml:space="preserve">A separate acquisition of Beacon Platform strengthened Clearwater’s cross-asset risk modelling and developer infrastructure, deepening capabilities across structured products, private credit and derivatives. Clearwater said integrating Beacon’s analytics with front-office capabilities and alternative-asset intelligence supports a single architecture spanning trading, modelling, accounting and regulatory reporting. The company presents these moves as the basis for a cloud-native front-to-back platform that reduces silos and delivers real-time transparency at scale. </w:t>
      </w:r>
      <w:hyperlink r:id="rId11">
        <w:r>
          <w:rPr>
            <w:color w:val="0000EE"/>
            <w:u w:val="single"/>
          </w:rPr>
          <w:t>[3]</w:t>
        </w:r>
      </w:hyperlink>
      <w:hyperlink r:id="rId11">
        <w:r>
          <w:rPr>
            <w:color w:val="0000EE"/>
            <w:u w:val="single"/>
          </w:rPr>
          <w:t>[6]</w:t>
        </w:r>
      </w:hyperlink>
      <w:r/>
    </w:p>
    <w:p>
      <w:r/>
      <w:r>
        <w:t xml:space="preserve">Sahai places strategic M&amp;A in a forward-looking playbook rather than a short-term priority: “We think about M&amp;A when it is strategically thought out. Financial returns matter, but they never drive our decisions. The bedrock of any M&amp;A decision is thinking ahead about what the market will want,” he told RBC CM. He also noted regional differences in buyer behaviour, saying full-system propositions are especially important in Europe. </w:t>
      </w:r>
      <w:hyperlink r:id="rId9">
        <w:r>
          <w:rPr>
            <w:color w:val="0000EE"/>
            <w:u w:val="single"/>
          </w:rPr>
          <w:t>[1]</w:t>
        </w:r>
      </w:hyperlink>
      <w:hyperlink r:id="rId9">
        <w:r>
          <w:rPr>
            <w:color w:val="0000EE"/>
            <w:u w:val="single"/>
          </w:rPr>
          <w:t>[4]</w:t>
        </w:r>
      </w:hyperlink>
      <w:r/>
    </w:p>
    <w:p>
      <w:r/>
      <w:r>
        <w:t xml:space="preserve">Beyond product and deal strategy, Sahai emphasises leadership, incentives and the wider social risks of generative AI. He described leadership as building a powerful vision and tracking measurable outcomes, and warned that AI could reinforce online echo chambers and constrain originality if deployed without care. “As those echo chambers become louder, you become wedded to that single point of view,” he said, adding that generative AI “is the most transformative technology by far, but needs to be handled thoughtfully and with care.” </w:t>
      </w:r>
      <w:hyperlink r:id="rId9">
        <w:r>
          <w:rPr>
            <w:color w:val="0000EE"/>
            <w:u w:val="single"/>
          </w:rPr>
          <w:t>[1]</w:t>
        </w:r>
      </w:hyperlink>
      <w:hyperlink r:id="rId9">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(RBC CM) - Paragraph 1, Paragraph 2, Paragraph 3, Paragraph 4, Paragraph 7, Paragraph 8 </w:t>
      </w:r>
      <w:r/>
    </w:p>
    <w:p>
      <w:pPr>
        <w:pStyle w:val="ListBullet"/>
        <w:spacing w:line="240" w:lineRule="auto"/>
        <w:ind w:left="720"/>
      </w:pPr>
      <w:r/>
      <w:hyperlink r:id="rId9">
        <w:r>
          <w:rPr>
            <w:color w:val="0000EE"/>
            <w:u w:val="single"/>
          </w:rPr>
          <w:t>[4]</w:t>
        </w:r>
      </w:hyperlink>
      <w:r>
        <w:t xml:space="preserve"> (RBC CM summary) - Paragraph 1, Paragraph 2, Paragraph 3, Paragraph 4, Paragraph 7, Paragraph 8 </w:t>
      </w:r>
      <w:r/>
    </w:p>
    <w:p>
      <w:pPr>
        <w:pStyle w:val="ListBullet"/>
        <w:spacing w:line="240" w:lineRule="auto"/>
        <w:ind w:left="720"/>
      </w:pPr>
      <w:r/>
      <w:hyperlink r:id="rId10">
        <w:r>
          <w:rPr>
            <w:color w:val="0000EE"/>
            <w:u w:val="single"/>
          </w:rPr>
          <w:t>[2]</w:t>
        </w:r>
      </w:hyperlink>
      <w:r>
        <w:t xml:space="preserve"> (Business Wire - Enfusion) - Paragraph 5 </w:t>
      </w:r>
      <w:r/>
    </w:p>
    <w:p>
      <w:pPr>
        <w:pStyle w:val="ListBullet"/>
        <w:spacing w:line="240" w:lineRule="auto"/>
        <w:ind w:left="720"/>
      </w:pPr>
      <w:r/>
      <w:hyperlink r:id="rId10">
        <w:r>
          <w:rPr>
            <w:color w:val="0000EE"/>
            <w:u w:val="single"/>
          </w:rPr>
          <w:t>[5]</w:t>
        </w:r>
      </w:hyperlink>
      <w:r>
        <w:t xml:space="preserve"> (Business Wire - Enfusion duplicate) - Paragraph 5 </w:t>
      </w:r>
      <w:r/>
    </w:p>
    <w:p>
      <w:pPr>
        <w:pStyle w:val="ListBullet"/>
        <w:spacing w:line="240" w:lineRule="auto"/>
        <w:ind w:left="720"/>
      </w:pPr>
      <w:r/>
      <w:hyperlink r:id="rId11">
        <w:r>
          <w:rPr>
            <w:color w:val="0000EE"/>
            <w:u w:val="single"/>
          </w:rPr>
          <w:t>[3]</w:t>
        </w:r>
      </w:hyperlink>
      <w:r>
        <w:t xml:space="preserve"> (Business Wire - Beacon) - Paragraph 6 </w:t>
      </w:r>
      <w:r/>
    </w:p>
    <w:p>
      <w:pPr>
        <w:pStyle w:val="ListBullet"/>
        <w:spacing w:line="240" w:lineRule="auto"/>
        <w:ind w:left="720"/>
      </w:pPr>
      <w:r/>
      <w:hyperlink r:id="rId11">
        <w:r>
          <w:rPr>
            <w:color w:val="0000EE"/>
            <w:u w:val="single"/>
          </w:rPr>
          <w:t>[6]</w:t>
        </w:r>
      </w:hyperlink>
      <w:r>
        <w:t xml:space="preserve"> (Business Wire - Beacon duplicate) - Paragraph 6</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https://www.rbccm.com/en/insights/2025/12/why-ai-and-propriety-data-define-the-winners-in-investment-management</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https://www.businesswire.com/news/home/20250421999466/en/Clearwater-Analytics-Finalizes-Acquisition-of-Enfusion</w:t>
        </w:r>
      </w:hyperlink>
      <w:r>
        <w:t xml:space="preserve"> - Clearwater Analytics has completed its acquisition of Enfusion, a leader in software-as-a-service solutions for the investment management and hedge fund sectors, in a deal valued at approximately $1.5 billion. This strategic combination positions Clearwater as the industry's first single-instance, multi-tenant, cloud-native platform to unify front, middle, and back-office investment operations. By integrating portfolio and order management, IBOR, risk, accounting, and client reporting into one seamless solution, Clearwater aims to eliminate fragmented workflows and empower clients to make faster, data-driven decisions with complete confidence in their data.</w:t>
      </w:r>
      <w:r/>
    </w:p>
    <w:p>
      <w:pPr>
        <w:pStyle w:val="ListNumber"/>
        <w:spacing w:line="240" w:lineRule="auto"/>
        <w:ind w:left="720"/>
      </w:pPr>
      <w:r/>
      <w:hyperlink r:id="rId11">
        <w:r>
          <w:rPr>
            <w:color w:val="0000EE"/>
            <w:u w:val="single"/>
          </w:rPr>
          <w:t>https://www.businesswire.com/news/home/20250430411126/en/Clearwater-Analytics-Completes-Acquisition-of-Beacon-Deepening-Risk-and-Modeling-Capabilities</w:t>
        </w:r>
      </w:hyperlink>
      <w:r>
        <w:t xml:space="preserve"> - Clearwater Analytics has completed its acquisition of Beacon Platform Inc., a provider of enterprise risk analytics and developer infrastructure. This acquisition strengthens Clearwater's capabilities in complex portfolio management across both public and private markets, including structured products, private credit, and derivatives. By integrating Beacon's cross-asset risk modeling with front-office capabilities and alternative asset intelligence from previous acquisitions, Clearwater aims to offer a unified platform that spans the full investment lifecycle—from trading and modeling to accounting and regulatory reporting. This single architecture is designed to eliminate silos across the front, middle, and back office, providing real-time data, transparency, and scale for institutional investors operating across public and private markets.</w:t>
      </w:r>
      <w:r/>
    </w:p>
    <w:p>
      <w:pPr>
        <w:pStyle w:val="ListNumber"/>
        <w:spacing w:line="240" w:lineRule="auto"/>
        <w:ind w:left="720"/>
      </w:pPr>
      <w:r/>
      <w:hyperlink r:id="rId9">
        <w:r>
          <w:rPr>
            <w:color w:val="0000EE"/>
            <w:u w:val="single"/>
          </w:rPr>
          <w:t>https://www.rbccm.com/en/insights/2025/12/why-ai-and-propriety-data-define-the-winners-in-investment-management</w:t>
        </w:r>
      </w:hyperlink>
      <w:r>
        <w:t xml:space="preserve"> - In this article, Sandeep Sahai, CEO of Clearwater Analytics, discusses how the explosion of data and generative AI are reshaping institutional investing. He highlights that proprietary data and analytics are becoming the sustained competitive advantage as AI begins to dominate processes in the financial services industry. While generative AI won't replace analysts, it has the ability to make them markedly more efficient. The article also addresses the challenges posed by alternative investments, which demand innovative technology like Clearwater's C1 GenAI to manage investment risk and opacity. To sustain AI momentum, companies should focus on short-term projects with clear financial returns to power AI programs.</w:t>
      </w:r>
      <w:r/>
    </w:p>
    <w:p>
      <w:pPr>
        <w:pStyle w:val="ListNumber"/>
        <w:spacing w:line="240" w:lineRule="auto"/>
        <w:ind w:left="720"/>
      </w:pPr>
      <w:r/>
      <w:hyperlink r:id="rId10">
        <w:r>
          <w:rPr>
            <w:color w:val="0000EE"/>
            <w:u w:val="single"/>
          </w:rPr>
          <w:t>https://www.businesswire.com/news/home/20250421999466/en/Clearwater-Analytics-Finalizes-Acquisition-of-Enfusion</w:t>
        </w:r>
      </w:hyperlink>
      <w:r>
        <w:t xml:space="preserve"> - Clearwater Analytics has completed its acquisition of Enfusion, a leader in software-as-a-service solutions for the investment management and hedge fund sectors, in a deal valued at approximately $1.5 billion. This strategic combination positions Clearwater as the industry's first single-instance, multi-tenant, cloud-native platform to unify front, middle, and back-office investment operations. By integrating portfolio and order management, IBOR, risk, accounting, and client reporting into one seamless solution, Clearwater aims to eliminate fragmented workflows and empower clients to make faster, data-driven decisions with complete confidence in their data.</w:t>
      </w:r>
      <w:r/>
    </w:p>
    <w:p>
      <w:pPr>
        <w:pStyle w:val="ListNumber"/>
        <w:spacing w:line="240" w:lineRule="auto"/>
        <w:ind w:left="720"/>
      </w:pPr>
      <w:r/>
      <w:hyperlink r:id="rId11">
        <w:r>
          <w:rPr>
            <w:color w:val="0000EE"/>
            <w:u w:val="single"/>
          </w:rPr>
          <w:t>https://www.businesswire.com/news/home/20250430411126/en/Clearwater-Analytics-Completes-Acquisition-of-Beacon-Deepening-Risk-and-Modeling-Capabilities</w:t>
        </w:r>
      </w:hyperlink>
      <w:r>
        <w:t xml:space="preserve"> - Clearwater Analytics has completed its acquisition of Beacon Platform Inc., a provider of enterprise risk analytics and developer infrastructure. This acquisition strengthens Clearwater's capabilities in complex portfolio management across both public and private markets, including structured products, private credit, and derivatives. By integrating Beacon's cross-asset risk modeling with front-office capabilities and alternative asset intelligence from previous acquisitions, Clearwater aims to offer a unified platform that spans the full investment lifecycle—from trading and modeling to accounting and regulatory reporting. This single architecture is designed to eliminate silos across the front, middle, and back office, providing real-time data, transparency, and scale for institutional investors operating across public and private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bccm.com/en/insights/2025/12/why-ai-and-propriety-data-define-the-winners-in-investment-management" TargetMode="External"/><Relationship Id="rId10" Type="http://schemas.openxmlformats.org/officeDocument/2006/relationships/hyperlink" Target="https://www.businesswire.com/news/home/20250421999466/en/Clearwater-Analytics-Finalizes-Acquisition-of-Enfusion" TargetMode="External"/><Relationship Id="rId11" Type="http://schemas.openxmlformats.org/officeDocument/2006/relationships/hyperlink" Target="https://www.businesswire.com/news/home/20250430411126/en/Clearwater-Analytics-Completes-Acquisition-of-Beacon-Deepening-Risk-and-Modeling-Capabilitie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