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Mainstream finance accelerates crypto adoption amid institutional influx and product innovation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leaders of major financial and crypto firms are signalling that cryptocurrencies are moving from niche markets into mainstream investment frameworks, a shift that is already shaping trading strategies for bitcoin and ethereum. According to the original report, executives at BlackRock and Coinbase emphasised that institutional integration could increase liquidity and alter volatility dynamics for BTC and ETH, prompting traders to reassess support, resistance and risk management.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BlackRock’s engagement and the growing universe of crypto investment vehicles are reinforcing expectations that larger, steadier flows will enter spot and derivatives markets. Industry data shows new multi‑coin and single‑asset structures, ranging from European-listed exchange products to US index ETFs, are expanding investor access and may underpin deeper market depth over time. </w:t>
      </w:r>
      <w:hyperlink r:id="rId12">
        <w:r>
          <w:rPr>
            <w:color w:val="0000EE"/>
            <w:u w:val="single"/>
          </w:rPr>
          <w:t>[6]</w:t>
        </w:r>
      </w:hyperlink>
      <w:hyperlink r:id="rId13">
        <w:r>
          <w:rPr>
            <w:color w:val="0000EE"/>
            <w:u w:val="single"/>
          </w:rPr>
          <w:t>[5]</w:t>
        </w:r>
      </w:hyperlink>
      <w:r/>
    </w:p>
    <w:p>
      <w:r/>
      <w:r>
        <w:t xml:space="preserve">Coinbase’s chief has pointed to rapid adoption trends that, if sustained, could translate into significant inflows across trading venues and custodial platforms. In public comments reported by Benzinga, Brian Armstrong wrote: "Bitcoin adoption should get to several billion people by 2030 at current rates," a view that underlines bullish institutional and retail narratives but should be treated as a forward projection rather than a guarantee. </w:t>
      </w:r>
      <w:hyperlink r:id="rId14">
        <w:r>
          <w:rPr>
            <w:color w:val="0000EE"/>
            <w:u w:val="single"/>
          </w:rPr>
          <w:t>[4]</w:t>
        </w:r>
      </w:hyperlink>
      <w:hyperlink r:id="rId9">
        <w:r>
          <w:rPr>
            <w:color w:val="0000EE"/>
            <w:u w:val="single"/>
          </w:rPr>
          <w:t>[1]</w:t>
        </w:r>
      </w:hyperlink>
      <w:r/>
    </w:p>
    <w:p>
      <w:r/>
      <w:r>
        <w:t xml:space="preserve">Survey and custody data corroborate rising institutional participation but also flag persistent risks. AIMA and PwC’s survey shows 55% of hedge funds now hold crypto-related assets and that many funds lean on derivatives rather than direct holdings; regulators and market participants have warned that leverage, infrastructure gaps and episodic liquidity events remain material concerns. Reuters reporting also highlights new active, hedged strategies seeking to limit downside while participating in upswings. </w:t>
      </w:r>
      <w:hyperlink r:id="rId11">
        <w:r>
          <w:rPr>
            <w:color w:val="0000EE"/>
            <w:u w:val="single"/>
          </w:rPr>
          <w:t>[3]</w:t>
        </w:r>
      </w:hyperlink>
      <w:hyperlink r:id="rId10">
        <w:r>
          <w:rPr>
            <w:color w:val="0000EE"/>
            <w:u w:val="single"/>
          </w:rPr>
          <w:t>[2]</w:t>
        </w:r>
      </w:hyperlink>
      <w:r/>
    </w:p>
    <w:p>
      <w:r/>
      <w:r>
        <w:t xml:space="preserve">Ethereum’s recent institutional growth has outpaced bitcoin in certain metrics, suggesting that market participants increasingly view ETH as a core allocation alongside BTC. Research cited by market analysts points to significantly higher percentage growth in institutional ETH holdings year‑on‑year, which could influence relative price dynamics and demand for blockchain‑infrastructure exposure. </w:t>
      </w:r>
      <w:hyperlink r:id="rId15">
        <w:r>
          <w:rPr>
            <w:color w:val="0000EE"/>
            <w:u w:val="single"/>
          </w:rPr>
          <w:t>[7]</w:t>
        </w:r>
      </w:hyperlink>
      <w:hyperlink r:id="rId12">
        <w:r>
          <w:rPr>
            <w:color w:val="0000EE"/>
            <w:u w:val="single"/>
          </w:rPr>
          <w:t>[6]</w:t>
        </w:r>
      </w:hyperlink>
      <w:r/>
    </w:p>
    <w:p>
      <w:r/>
      <w:r>
        <w:t xml:space="preserve">For traders, the practical implications are twofold: richer liquidity and product choice can enable more sophisticated positioning, but elevated institutional flows and algorithmic participation may amplify short‑term correlations with other risk assets and produce sudden repricing during stress. Market participants are advised to monitor on‑chain flows, ETF/share creation data, derivatives open interest and volatility measures while maintaining clear stop‑loss and size discipline. </w:t>
      </w:r>
      <w:hyperlink r:id="rId9">
        <w:r>
          <w:rPr>
            <w:color w:val="0000EE"/>
            <w:u w:val="single"/>
          </w:rPr>
          <w:t>[1]</w:t>
        </w:r>
      </w:hyperlink>
      <w:hyperlink r:id="rId11">
        <w:r>
          <w:rPr>
            <w:color w:val="0000EE"/>
            <w:u w:val="single"/>
          </w:rPr>
          <w:t>[3]</w:t>
        </w:r>
      </w:hyperlink>
      <w:hyperlink r:id="rId10">
        <w:r>
          <w:rPr>
            <w:color w:val="0000EE"/>
            <w:u w:val="single"/>
          </w:rPr>
          <w:t>[2]</w:t>
        </w:r>
      </w:hyperlink>
      <w:r/>
    </w:p>
    <w:p>
      <w:r/>
      <w:r>
        <w:t xml:space="preserve">Ultimately, the convergence of traditional finance and crypto markets appears to be accelerating product innovation and capital flows, creating both opportunities for portfolio diversification and new systemic considerations for market stability. The company announcements and industry moves reported so far indicate a structural trend; however, analysts caution that regulatory clarity, infrastructure resilience and macro conditions will determine whether the move to mainstream finance yields sustained, orderly growth. </w:t>
      </w:r>
      <w:hyperlink r:id="rId9">
        <w:r>
          <w:rPr>
            <w:color w:val="0000EE"/>
            <w:u w:val="single"/>
          </w:rPr>
          <w:t>[1]</w:t>
        </w:r>
      </w:hyperlink>
      <w:hyperlink r:id="rId13">
        <w:r>
          <w:rPr>
            <w:color w:val="0000EE"/>
            <w:u w:val="single"/>
          </w:rPr>
          <w:t>[5]</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(blockchain.news) - Paragraph 1, Paragraph 6, Paragraph 7 </w:t>
      </w:r>
      <w:r/>
    </w:p>
    <w:p>
      <w:pPr>
        <w:pStyle w:val="ListBullet"/>
        <w:spacing w:line="240" w:lineRule="auto"/>
        <w:ind w:left="720"/>
      </w:pPr>
      <w:r/>
      <w:hyperlink r:id="rId10">
        <w:r>
          <w:rPr>
            <w:color w:val="0000EE"/>
            <w:u w:val="single"/>
          </w:rPr>
          <w:t>[2]</w:t>
        </w:r>
      </w:hyperlink>
      <w:r>
        <w:t xml:space="preserve"> (Reuters - EMJX/EMJ Capital) - Paragraph 1, Paragraph 4, Paragraph 6 </w:t>
      </w:r>
      <w:r/>
    </w:p>
    <w:p>
      <w:pPr>
        <w:pStyle w:val="ListBullet"/>
        <w:spacing w:line="240" w:lineRule="auto"/>
        <w:ind w:left="720"/>
      </w:pPr>
      <w:r/>
      <w:hyperlink r:id="rId11">
        <w:r>
          <w:rPr>
            <w:color w:val="0000EE"/>
            <w:u w:val="single"/>
          </w:rPr>
          <w:t>[3]</w:t>
        </w:r>
      </w:hyperlink>
      <w:r>
        <w:t xml:space="preserve"> (Reuters - AIMA/PwC survey) - Paragraph 1, Paragraph 4, Paragraph 6 </w:t>
      </w:r>
      <w:r/>
    </w:p>
    <w:p>
      <w:pPr>
        <w:pStyle w:val="ListBullet"/>
        <w:spacing w:line="240" w:lineRule="auto"/>
        <w:ind w:left="720"/>
      </w:pPr>
      <w:r/>
      <w:hyperlink r:id="rId14">
        <w:r>
          <w:rPr>
            <w:color w:val="0000EE"/>
            <w:u w:val="single"/>
          </w:rPr>
          <w:t>[4]</w:t>
        </w:r>
      </w:hyperlink>
      <w:r>
        <w:t xml:space="preserve"> (Benzinga) - Paragraph 3 </w:t>
      </w:r>
      <w:r/>
    </w:p>
    <w:p>
      <w:pPr>
        <w:pStyle w:val="ListBullet"/>
        <w:spacing w:line="240" w:lineRule="auto"/>
        <w:ind w:left="720"/>
      </w:pPr>
      <w:r/>
      <w:hyperlink r:id="rId13">
        <w:r>
          <w:rPr>
            <w:color w:val="0000EE"/>
            <w:u w:val="single"/>
          </w:rPr>
          <w:t>[5]</w:t>
        </w:r>
      </w:hyperlink>
      <w:r>
        <w:t xml:space="preserve"> (El País / Cinco Días) - Paragraph 2, Paragraph 7 </w:t>
      </w:r>
      <w:r/>
    </w:p>
    <w:p>
      <w:pPr>
        <w:pStyle w:val="ListBullet"/>
        <w:spacing w:line="240" w:lineRule="auto"/>
        <w:ind w:left="720"/>
      </w:pPr>
      <w:r/>
      <w:hyperlink r:id="rId12">
        <w:r>
          <w:rPr>
            <w:color w:val="0000EE"/>
            <w:u w:val="single"/>
          </w:rPr>
          <w:t>[6]</w:t>
        </w:r>
      </w:hyperlink>
      <w:r>
        <w:t xml:space="preserve"> (Reuters - 21Shares ETFs) - Paragraph 2, Paragraph 5, Paragraph 7 </w:t>
      </w:r>
      <w:r/>
    </w:p>
    <w:p>
      <w:pPr>
        <w:pStyle w:val="ListBullet"/>
        <w:spacing w:line="240" w:lineRule="auto"/>
        <w:ind w:left="720"/>
      </w:pPr>
      <w:r/>
      <w:hyperlink r:id="rId15">
        <w:r>
          <w:rPr>
            <w:color w:val="0000EE"/>
            <w:u w:val="single"/>
          </w:rPr>
          <w:t>[7]</w:t>
        </w:r>
      </w:hyperlink>
      <w:r>
        <w:t xml:space="preserve"> (CryptoPotato / XWIN Research Japan)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https://blockchain.news/flashnews/blackrock-and-coinbase-chiefs-signal-crypto-s-mainstream-shift-trading-watchpoints-for-btc-and-eth</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https://www.reuters.com/sustainability/sustainable-finance-reporting/emjs-jackson-aims-take-volatility-out-crypto-2025-12-02/</w:t>
        </w:r>
      </w:hyperlink>
      <w:r>
        <w:t xml:space="preserve"> - Eric Jackson, hedge fund manager and activist investor, is launching EMJX, a new crypto-focused treasury firm through EMJ Capital. EMJX will invest in a diversified portfolio of cryptocurrencies like bitcoin, ethereum, and select smaller coins, aiming to reduce the volatility typically associated with crypto investments. Unlike traditional crypto treasury models that passively hold assets, EMJX stands out with its multi-asset strategy and active hedging using proprietary AI models to limit downturns while enabling gains during market upswings. Backtesting indicates EMJX's strategy would yield a 31% gain in 2025, outperforming bitcoin, ethereum, and firms like Strategy Inc., which fell 41%. The firm's approach benefits from blockchain transparency by analyzing real-time cash flows and tracking large investors' behavior. Jackson also plans to leverage EMJ Capital’s equity experience to identify promising smaller tokens, referencing past success such as Carvana. EMJX aims to bring risk-managed exposure to crypto markets for investors seeking growth with downside protection.</w:t>
      </w:r>
      <w:r/>
    </w:p>
    <w:p>
      <w:pPr>
        <w:pStyle w:val="ListNumber"/>
        <w:spacing w:line="240" w:lineRule="auto"/>
        <w:ind w:left="720"/>
      </w:pPr>
      <w:r/>
      <w:hyperlink r:id="rId11">
        <w:r>
          <w:rPr>
            <w:color w:val="0000EE"/>
            <w:u w:val="single"/>
          </w:rPr>
          <w:t>https://www.reuters.com/business/more-than-half-hedge-funds-invested-crypto-global-survey-says-2025-11-06/</w:t>
        </w:r>
      </w:hyperlink>
      <w:r>
        <w:t xml:space="preserve"> - A recent survey by the Alternative Investment Management Association (AIMA) and PwC reveals that 55% of global hedge funds now hold crypto-related assets, up from 47% the previous year. The survey, conducted in the first half of 2025 with 122 investors and fund managers, found that on average, hedge funds allocate 7% of their holdings to crypto, though over half invest less than 2%. The growing interest is attributed to rising cryptocurrency prices and supportive U.S. regulatory developments under President Donald Trump's administration. Despite this growth, the report warns of risks related to excessive leverage and insufficient infrastructure, citing a flash crash in October. Notably, 67% of funds use crypto derivatives rather than holding the digital assets directly. With total hedge fund assets nearing $5 trillion in Q3 2025, and $982 billion under the surveyed funds, crypto is becoming an increasingly integrated part of mainstream finance, prompting global regulators to highlight associated financial stability concerns.</w:t>
      </w:r>
      <w:r/>
    </w:p>
    <w:p>
      <w:pPr>
        <w:pStyle w:val="ListNumber"/>
        <w:spacing w:line="240" w:lineRule="auto"/>
        <w:ind w:left="720"/>
      </w:pPr>
      <w:r/>
      <w:hyperlink r:id="rId14">
        <w:r>
          <w:rPr>
            <w:color w:val="0000EE"/>
            <w:u w:val="single"/>
          </w:rPr>
          <w:t>https://www.benzinga.com/markets/cryptocurrency/25/02/43591727/coinbase-ceo-brian-armstrong-says-bitcoin-adoption-to-reach-billions-by-2030</w:t>
        </w:r>
      </w:hyperlink>
      <w:r>
        <w:t xml:space="preserve"> - Bitcoin (CRYPTO: BTC) adoption is on track to reach several billion users by the end of the decade, according to Coinbase (NASDAQ:COIN) CEO Brian Armstrong. In a statement on X on Monday, Armstrong pointed to the rapid pace of Bitcoin growth, comparing it to the early adoption rates of mobile phones and the internet. “Bitcoin adoption should get to several billion people by 2030 at current rates,” Armstrong wrote, emphasizing the acceleration in mainstream cryptocurrency use. He was responding to a tweet by entrepreneur Mario Nawfal, who, citing data from BlackRock (NASDAQ:BLK) stated that crypto adoption has grown 43% faster than mobile phones and 20% faster than the internet. He said that the report suggests that younger generations, concerns over inflation, and a pro-crypto stance from U.S. leadership are key drivers of this expansion. Meanwhile, institutional adoption continues to grow, with Bitcoin ETFs projected to hit $250 billion in assets under management. Regulatory clarity is also improving, further legitimizing Bitcoin as a mainstream financial asset. “With Bitcoin ETFs projected to hit $250 billion and regulatory wins piling up, crypto's mainstream takeover is accelerating,” Nawfal said. As Bitcoin adoption scales, experts see further integration into global finance, driven by both institutional participation and growing retail demand.</w:t>
      </w:r>
      <w:r/>
    </w:p>
    <w:p>
      <w:pPr>
        <w:pStyle w:val="ListNumber"/>
        <w:spacing w:line="240" w:lineRule="auto"/>
        <w:ind w:left="720"/>
      </w:pPr>
      <w:r/>
      <w:hyperlink r:id="rId13">
        <w:r>
          <w:rPr>
            <w:color w:val="0000EE"/>
            <w:u w:val="single"/>
          </w:rPr>
          <w:t>https://cincodias.elpais.com/criptoactivos/2025-11-20/ing-se-lanza-al-mundo-cripto-y-ofrece-etn-de-bitcoin-y-ethereum.html</w:t>
        </w:r>
      </w:hyperlink>
      <w:r>
        <w:t xml:space="preserve"> - ING has announced its entry into the cryptocurrency world by offering its clients the possibility to invest in Exchange Traded Notes (ETNs) linked to Bitcoin and Ethereum through its Naranja broker. This move is part of its commitment to adapt to market needs, as these cryptocurrencies together represent more than 70% of the crypto market. ING also plans to expand its range of listed products in 2026, following significant growth of the Naranja broker, which has seen a 37% increase in activity, 40% more new clients, and a 22% rise in assets under management. The decision aligns with a broader trend in the banking sector, driven by the implementation of the European MiCA regulation in December 2024, which has regulated the crypto space and motivated several entities to offer these services. BBVA was a pioneer in Spain by obtaining the MiCA license and offering the purchase and sale of Bitcoin and Ether. Cecabank, CaixaBank, and Openbank have also joined, each enabling different forms of access to crypto assets through their digital platforms.</w:t>
      </w:r>
      <w:r/>
    </w:p>
    <w:p>
      <w:pPr>
        <w:pStyle w:val="ListNumber"/>
        <w:spacing w:line="240" w:lineRule="auto"/>
        <w:ind w:left="720"/>
      </w:pPr>
      <w:r/>
      <w:hyperlink r:id="rId12">
        <w:r>
          <w:rPr>
            <w:color w:val="0000EE"/>
            <w:u w:val="single"/>
          </w:rPr>
          <w:t>https://www.reuters.com/business/21shares-launches-two-us-crypto-index-etfs-2025-11-13/</w:t>
        </w:r>
      </w:hyperlink>
      <w:r>
        <w:t xml:space="preserve"> - Swiss digital asset manager 21Shares has launched its first cryptocurrency index exchange-traded funds (ETFs) in the U.S., marking a significant move into multi-coin investment vehicles under the Investment Company Act of 1940 — a regulation typically used for traditional ETFs and considered the “gold standard” by professionals. The two ETFs, the FTSE Crypto 10 Index ETF (TTOP.P) and the 21Shares FTSE Crypto 10 ex-BTC Index ETF (TXBC.P), will track a basket of cryptocurrencies including Ethereum, Solana, and Dogecoin, and carry fees of 0.5% and 0.65% respectively. Partnering with Teucrium Trading, 21Shares will use a structure that indirectly obtains crypto exposure via its own exchange-traded products listed in Europe. These funds are designed for professional investors and are expected to see slower uptake compared to the more retail-driven single-coin spot Bitcoin ETFs that surged in 2024. The launch enters a competitive and volatile market, alongside other recent entrants such as Grayscale, Hashdex, and Bitwise, which are also developing or converting multi-coin crypto ETFs under different regulatory frameworks.</w:t>
      </w:r>
      <w:r/>
    </w:p>
    <w:p>
      <w:pPr>
        <w:pStyle w:val="ListNumber"/>
        <w:spacing w:line="240" w:lineRule="auto"/>
        <w:ind w:left="720"/>
      </w:pPr>
      <w:r/>
      <w:hyperlink r:id="rId15">
        <w:r>
          <w:rPr>
            <w:color w:val="0000EE"/>
            <w:u w:val="single"/>
          </w:rPr>
          <w:t>https://cryptopotato.com/ethereum-outpaces-bitcoin-in-institutional-growth-138-to-36/</w:t>
        </w:r>
      </w:hyperlink>
      <w:r>
        <w:t xml:space="preserve"> - Over the past year, the amount of Ethereum (ETH) funds held by institutions has grown at a rate nearly four times faster than that of Bitcoin (BTC). According to analysts, this change in allocation could point to a growing institutional belief in Ethereum’s distinct role alongside Bitcoin as a core digital asset. Data shared by XWIN Research Japan shows that institutions are clearly building their positions in different ways. Bitcoin fund holdings grew by 36% over the course of a year, reaching about 1.3 million BTC. Meanwhile, Ethereum increased even more notably in the same time period, with institutional holdings of the world’s second-largest cryptocurrency by market cap shooting up 138%, bringing the total to about 6.8 million coins.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blackrock-and-coinbase-chiefs-signal-crypto-s-mainstream-shift-trading-watchpoints-for-btc-and-eth" TargetMode="External"/><Relationship Id="rId10" Type="http://schemas.openxmlformats.org/officeDocument/2006/relationships/hyperlink" Target="https://www.reuters.com/sustainability/sustainable-finance-reporting/emjs-jackson-aims-take-volatility-out-crypto-2025-12-02/" TargetMode="External"/><Relationship Id="rId11" Type="http://schemas.openxmlformats.org/officeDocument/2006/relationships/hyperlink" Target="https://www.reuters.com/business/more-than-half-hedge-funds-invested-crypto-global-survey-says-2025-11-06/" TargetMode="External"/><Relationship Id="rId12" Type="http://schemas.openxmlformats.org/officeDocument/2006/relationships/hyperlink" Target="https://www.reuters.com/business/21shares-launches-two-us-crypto-index-etfs-2025-11-13/" TargetMode="External"/><Relationship Id="rId13" Type="http://schemas.openxmlformats.org/officeDocument/2006/relationships/hyperlink" Target="https://cincodias.elpais.com/criptoactivos/2025-11-20/ing-se-lanza-al-mundo-cripto-y-ofrece-etn-de-bitcoin-y-ethereum.html" TargetMode="External"/><Relationship Id="rId14" Type="http://schemas.openxmlformats.org/officeDocument/2006/relationships/hyperlink" Target="https://www.benzinga.com/markets/cryptocurrency/25/02/43591727/coinbase-ceo-brian-armstrong-says-bitcoin-adoption-to-reach-billions-by-2030" TargetMode="External"/><Relationship Id="rId15" Type="http://schemas.openxmlformats.org/officeDocument/2006/relationships/hyperlink" Target="https://cryptopotato.com/ethereum-outpaces-bitcoin-in-institutional-growth-138-to-3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