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MIT highlights dual challenge and opportunity of AI’s expanding energy footprint</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Researchers at the Massachusetts Institute of Technology and its Energy Initiative are framing artificial intelligence as both a growing consumer of power and an indispensable tool for decarbonising energy systems. According to the original report from MIT researchers, while AI-driven data centres increase electricity demand and pose grid‑stress risks, the same algorithms and automation can improve grid stability, accelerate materials discovery and lower emissions across buildings, transport and industry. </w:t>
      </w:r>
      <w:hyperlink r:id="rId9">
        <w:r>
          <w:rPr>
            <w:color w:val="0000EE"/>
            <w:u w:val="single"/>
          </w:rPr>
          <w:t>[1]</w:t>
        </w:r>
      </w:hyperlink>
      <w:hyperlink r:id="rId10">
        <w:r>
          <w:rPr>
            <w:color w:val="0000EE"/>
            <w:u w:val="single"/>
          </w:rPr>
          <w:t>[3]</w:t>
        </w:r>
      </w:hyperlink>
      <w:r/>
    </w:p>
    <w:p>
      <w:r/>
      <w:r>
        <w:t xml:space="preserve">The rapid expansion of large‑scale computing has prompted urgent analysis of its electricity footprint. Industry data shows AI computing centres already account for a non‑trivial share of US power use, and projections presented at MIT’s spring symposium indicate that share could rise substantially by 2030. That looming growth underpins concerns about infrastructure strain, higher costs and potential delays in renewable deployment unless consumption and siting are better managed. </w:t>
      </w:r>
      <w:hyperlink r:id="rId10">
        <w:r>
          <w:rPr>
            <w:color w:val="0000EE"/>
            <w:u w:val="single"/>
          </w:rPr>
          <w:t>[3]</w:t>
        </w:r>
      </w:hyperlink>
      <w:hyperlink r:id="rId11">
        <w:r>
          <w:rPr>
            <w:color w:val="0000EE"/>
            <w:u w:val="single"/>
          </w:rPr>
          <w:t>[2]</w:t>
        </w:r>
      </w:hyperlink>
      <w:r/>
    </w:p>
    <w:p>
      <w:r/>
      <w:r>
        <w:t xml:space="preserve">At the same time, the MIT team emphasises AI’s capacity to make the electricity system more flexible and resilient. According to the original report, machine learning models are being used to forecast variable generation from wind and solar, to balance supply and demand in real time, and to maintain critical grid parameters such as voltage and frequency as weather and cybersecurity threats intensify. These operational improvements can reduce the need for costly physical upgrades. </w:t>
      </w:r>
      <w:hyperlink r:id="rId9">
        <w:r>
          <w:rPr>
            <w:color w:val="0000EE"/>
            <w:u w:val="single"/>
          </w:rPr>
          <w:t>[1]</w:t>
        </w:r>
      </w:hyperlink>
      <w:r/>
    </w:p>
    <w:p>
      <w:r/>
      <w:r>
        <w:t xml:space="preserve">Demand‑side flexibility is a clear example of how AI can reduce system stress. Industry projects show algorithms shifting electric‑vehicle charging, tapping distributed storage and coordinating deferrable loads such as data‑centre tasks to flatten peaks and improve utilisation. The company and academic work cited by MIT suggests these measures can make grids more resilient while lowering overall emissions without waiting for wholesale infrastructure replacement. </w:t>
      </w:r>
      <w:hyperlink r:id="rId9">
        <w:r>
          <w:rPr>
            <w:color w:val="0000EE"/>
            <w:u w:val="single"/>
          </w:rPr>
          <w:t>[1]</w:t>
        </w:r>
      </w:hyperlink>
      <w:hyperlink r:id="rId10">
        <w:r>
          <w:rPr>
            <w:color w:val="0000EE"/>
            <w:u w:val="single"/>
          </w:rPr>
          <w:t>[3]</w:t>
        </w:r>
      </w:hyperlink>
      <w:r/>
    </w:p>
    <w:p>
      <w:r/>
      <w:r>
        <w:t xml:space="preserve">Predictive maintenance and longer‑range planning are further areas where AI adds value. According to MIT researchers, models that analyse equipment telemetry can detect incipient failures, extend asset life and reduce unplanned outages; other tools simulate decades‑ahead infrastructure needs under climate scenarios to guide investment. The report also notes AI’s role in expediting regulatory and planning workflows by digesting complex regulatory texts, helping developers reduce iterative revisions even though formal approvals still follow statutory processes. </w:t>
      </w:r>
      <w:hyperlink r:id="rId9">
        <w:r>
          <w:rPr>
            <w:color w:val="0000EE"/>
            <w:u w:val="single"/>
          </w:rPr>
          <w:t>[1]</w:t>
        </w:r>
      </w:hyperlink>
      <w:r/>
    </w:p>
    <w:p>
      <w:r/>
      <w:r>
        <w:t xml:space="preserve">AI is also accelerating materials discovery that underpins low‑carbon technologies. Research efforts using machine learning to guide atomic‑scale simulations and real‑time laboratory experiments are shortening development cycles for batteries, photovoltaics, electrolyzers and thermoelectrics. Projects such as living materials databases and autonomous experiment loops demonstrate how AI can compress discovery timelines from many years to a small fraction of that time, according to recent technical initiatives. </w:t>
      </w:r>
      <w:hyperlink r:id="rId9">
        <w:r>
          <w:rPr>
            <w:color w:val="0000EE"/>
            <w:u w:val="single"/>
          </w:rPr>
          <w:t>[1]</w:t>
        </w:r>
      </w:hyperlink>
      <w:hyperlink r:id="rId12">
        <w:r>
          <w:rPr>
            <w:color w:val="0000EE"/>
            <w:u w:val="single"/>
          </w:rPr>
          <w:t>[6]</w:t>
        </w:r>
      </w:hyperlink>
      <w:hyperlink r:id="rId13">
        <w:r>
          <w:rPr>
            <w:color w:val="0000EE"/>
            <w:u w:val="single"/>
          </w:rPr>
          <w:t>[7]</w:t>
        </w:r>
      </w:hyperlink>
      <w:r/>
    </w:p>
    <w:p>
      <w:r/>
      <w:r>
        <w:t xml:space="preserve">MIT Energy Initiative (MITEI) is convening industry and academic partners to address both sides of this equation. The initiative has funded early‑stage research in robotics for infrastructure maintenance and rare‑earth recycling, and launched programmes and forums to tackle data‑centre power demand and the carbon footprint of AI itself. MITEI’s Data Centre Power Forum and related funding calls reflect an institutional push to make AI more energy‑efficient while harnessing it to advance the energy transition. </w:t>
      </w:r>
      <w:hyperlink r:id="rId14">
        <w:r>
          <w:rPr>
            <w:color w:val="0000EE"/>
            <w:u w:val="single"/>
          </w:rPr>
          <w:t>[4]</w:t>
        </w:r>
      </w:hyperlink>
      <w:hyperlink r:id="rId15">
        <w:r>
          <w:rPr>
            <w:color w:val="0000EE"/>
            <w:u w:val="single"/>
          </w:rPr>
          <w:t>[5]</w:t>
        </w:r>
      </w:hyperlink>
      <w:hyperlink r:id="rId11">
        <w:r>
          <w:rPr>
            <w:color w:val="0000EE"/>
            <w:u w:val="single"/>
          </w:rPr>
          <w:t>[2]</w:t>
        </w:r>
      </w:hyperlink>
      <w:r/>
    </w:p>
    <w:p>
      <w:r/>
      <w:r>
        <w:t xml:space="preserve">In sum, MIT researchers portray AI as a dual‑use technology: a contributor to rising electricity demand that requires careful management, and a potent enabler of cleaner, smarter energy systems when deployed strategically. The policy and investment challenge, they argue, is to maximise the technology’s system‑wide benefits while driving down its operational footprint through smarter chips, algorithms and data‑centre design. </w:t>
      </w:r>
      <w:hyperlink r:id="rId9">
        <w:r>
          <w:rPr>
            <w:color w:val="0000EE"/>
            <w:u w:val="single"/>
          </w:rPr>
          <w:t>[1]</w:t>
        </w:r>
      </w:hyperlink>
      <w:hyperlink r:id="rId10">
        <w:r>
          <w:rPr>
            <w:color w:val="0000EE"/>
            <w:u w:val="single"/>
          </w:rPr>
          <w:t>[3]</w:t>
        </w:r>
      </w:hyperlink>
      <w:hyperlink r:id="rId11">
        <w:r>
          <w:rPr>
            <w:color w:val="0000EE"/>
            <w:u w:val="single"/>
          </w:rPr>
          <w:t>[2]</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(AZoRobotics / summary of MIT research) - Paragraph 1, Paragraph 3, Paragraph 4, Paragraph 5, Paragraph 6, Paragraph 8 </w:t>
      </w:r>
      <w:r/>
    </w:p>
    <w:p>
      <w:pPr>
        <w:pStyle w:val="ListBullet"/>
        <w:spacing w:line="240" w:lineRule="auto"/>
        <w:ind w:left="720"/>
      </w:pPr>
      <w:r/>
      <w:hyperlink r:id="rId11">
        <w:r>
          <w:rPr>
            <w:color w:val="0000EE"/>
            <w:u w:val="single"/>
          </w:rPr>
          <w:t>[2]</w:t>
        </w:r>
      </w:hyperlink>
      <w:r>
        <w:t xml:space="preserve"> (MITEI announcement: Data Center Power Forum, Nov 2025) - Paragraph 2, Paragraph 7, Paragraph 8 </w:t>
      </w:r>
      <w:r/>
    </w:p>
    <w:p>
      <w:pPr>
        <w:pStyle w:val="ListBullet"/>
        <w:spacing w:line="240" w:lineRule="auto"/>
        <w:ind w:left="720"/>
      </w:pPr>
      <w:r/>
      <w:hyperlink r:id="rId10">
        <w:r>
          <w:rPr>
            <w:color w:val="0000EE"/>
            <w:u w:val="single"/>
          </w:rPr>
          <w:t>[3]</w:t>
        </w:r>
      </w:hyperlink>
      <w:r>
        <w:t xml:space="preserve"> (MIT news: Spring symposium, May 2025) - Paragraph 1, Paragraph 2, Paragraph 3, Paragraph 8 </w:t>
      </w:r>
      <w:r/>
    </w:p>
    <w:p>
      <w:pPr>
        <w:pStyle w:val="ListBullet"/>
        <w:spacing w:line="240" w:lineRule="auto"/>
        <w:ind w:left="720"/>
      </w:pPr>
      <w:r/>
      <w:hyperlink r:id="rId14">
        <w:r>
          <w:rPr>
            <w:color w:val="0000EE"/>
            <w:u w:val="single"/>
          </w:rPr>
          <w:t>[4]</w:t>
        </w:r>
      </w:hyperlink>
      <w:r>
        <w:t xml:space="preserve"> (MITEI Seed Fund grants, July 2025) - Paragraph 7 </w:t>
      </w:r>
      <w:r/>
    </w:p>
    <w:p>
      <w:pPr>
        <w:pStyle w:val="ListBullet"/>
        <w:spacing w:line="240" w:lineRule="auto"/>
        <w:ind w:left="720"/>
      </w:pPr>
      <w:r/>
      <w:hyperlink r:id="rId15">
        <w:r>
          <w:rPr>
            <w:color w:val="0000EE"/>
            <w:u w:val="single"/>
          </w:rPr>
          <w:t>[5]</w:t>
        </w:r>
      </w:hyperlink>
      <w:r>
        <w:t xml:space="preserve"> (MITEI Future Energy Systems Centre funding, Sept 2025) - Paragraph 7 </w:t>
      </w:r>
      <w:r/>
    </w:p>
    <w:p>
      <w:pPr>
        <w:pStyle w:val="ListBullet"/>
        <w:spacing w:line="240" w:lineRule="auto"/>
        <w:ind w:left="720"/>
      </w:pPr>
      <w:r/>
      <w:hyperlink r:id="rId12">
        <w:r>
          <w:rPr>
            <w:color w:val="0000EE"/>
            <w:u w:val="single"/>
          </w:rPr>
          <w:t>[6]</w:t>
        </w:r>
      </w:hyperlink>
      <w:r>
        <w:t xml:space="preserve"> (Energy‑GNoME materials database, arXiv 2024) - Paragraph 6 </w:t>
      </w:r>
      <w:r/>
    </w:p>
    <w:p>
      <w:pPr>
        <w:pStyle w:val="ListBullet"/>
        <w:spacing w:line="240" w:lineRule="auto"/>
        <w:ind w:left="720"/>
      </w:pPr>
      <w:r/>
      <w:hyperlink r:id="rId13">
        <w:r>
          <w:rPr>
            <w:color w:val="0000EE"/>
            <w:u w:val="single"/>
          </w:rPr>
          <w:t>[7]</w:t>
        </w:r>
      </w:hyperlink>
      <w:r>
        <w:t xml:space="preserve"> (U.S. Department of Energy report, 2024)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https://www.azorobotics.com/News.aspx?newsID=16273</w:t>
        </w:r>
      </w:hyperlink>
      <w:r>
        <w:t xml:space="preserve"> - Please view link - unable to able to access data</w:t>
      </w:r>
      <w:r/>
    </w:p>
    <w:p>
      <w:pPr>
        <w:pStyle w:val="ListNumber"/>
        <w:spacing w:line="240" w:lineRule="auto"/>
        <w:ind w:left="720"/>
      </w:pPr>
      <w:r/>
      <w:hyperlink r:id="rId11">
        <w:r>
          <w:rPr>
            <w:color w:val="0000EE"/>
            <w:u w:val="single"/>
          </w:rPr>
          <w:t>https://sustainability.mit.edu/article/mit-energy-initiative-launches-data-center-power-forum</w:t>
        </w:r>
      </w:hyperlink>
      <w:r>
        <w:t xml:space="preserve"> - In November 2025, the MIT Energy Initiative (MITEI) launched the Data Center Power Forum to address the escalating power demand from data centers. This initiative brings together MIT researchers and industry experts to explore innovative solutions for powering the data-driven future. The forum aims to tackle challenges related to data center energy consumption, which is projected to more than double by 2030, potentially consuming 9% of the United States' electricity. The forum builds upon previous MITEI events focused on the energy demands of artificial intelligence and data centers.</w:t>
      </w:r>
      <w:r/>
    </w:p>
    <w:p>
      <w:pPr>
        <w:pStyle w:val="ListNumber"/>
        <w:spacing w:line="240" w:lineRule="auto"/>
        <w:ind w:left="720"/>
      </w:pPr>
      <w:r/>
      <w:hyperlink r:id="rId10">
        <w:r>
          <w:rPr>
            <w:color w:val="0000EE"/>
            <w:u w:val="single"/>
          </w:rPr>
          <w:t>https://news.mit.edu/2025/confronting-ai-energy-conundrum-0702</w:t>
        </w:r>
      </w:hyperlink>
      <w:r>
        <w:t xml:space="preserve"> - In May 2025, MITEI's Spring Symposium, titled 'AI and energy: Peril and promise,' addressed the dual challenges posed by artificial intelligence's growing energy consumption and its potential to revolutionize energy systems. The symposium highlighted that AI-powered computing centers now consume approximately 4% of the United States' electricity, with projections suggesting this could rise to 12-15% by 2030. Experts discussed balancing rapid AI deployment with environmental impacts and explored AI's role in accelerating the clean energy transition.</w:t>
      </w:r>
      <w:r/>
    </w:p>
    <w:p>
      <w:pPr>
        <w:pStyle w:val="ListNumber"/>
        <w:spacing w:line="240" w:lineRule="auto"/>
        <w:ind w:left="720"/>
      </w:pPr>
      <w:r/>
      <w:hyperlink r:id="rId14">
        <w:r>
          <w:rPr>
            <w:color w:val="0000EE"/>
            <w:u w:val="single"/>
          </w:rPr>
          <w:t>https://energy.mit.edu/news/mit-energy-initiative-funds-seven-early-stage-energy-research-projects/</w:t>
        </w:r>
      </w:hyperlink>
      <w:r>
        <w:t xml:space="preserve"> - In July 2025, MITEI awarded over $1.2 million in grants to support seven novel energy research projects as part of its Seed Fund program. These projects encompass a range of topics, including robotics for efficient infrastructure maintenance and rare earth metal recycling. The initiative reflects the inherent complexity of the world's energy systems and aims to foster innovative solutions to advance the clean energy transition.</w:t>
      </w:r>
      <w:r/>
    </w:p>
    <w:p>
      <w:pPr>
        <w:pStyle w:val="ListNumber"/>
        <w:spacing w:line="240" w:lineRule="auto"/>
        <w:ind w:left="720"/>
      </w:pPr>
      <w:r/>
      <w:hyperlink r:id="rId15">
        <w:r>
          <w:rPr>
            <w:color w:val="0000EE"/>
            <w:u w:val="single"/>
          </w:rPr>
          <w:t>https://energy.mit.edu/news/miteis-future-energy-systems-center-funds-ten-new-research-projects-to-advance-the-energy-transition/</w:t>
        </w:r>
      </w:hyperlink>
      <w:r>
        <w:t xml:space="preserve"> - In September 2025, MITEI's Future Energy Systems Center funded ten new projects addressing various aspects of the energy transition. Several projects focus on the challenge of sustainably powering data centers and the potential opportunities for artificial intelligence to support clean energy development. These initiatives align with MITEI's ongoing efforts to address data center energy demand and explore AI's role in optimizing clean energy development.</w:t>
      </w:r>
      <w:r/>
    </w:p>
    <w:p>
      <w:pPr>
        <w:pStyle w:val="ListNumber"/>
        <w:spacing w:line="240" w:lineRule="auto"/>
        <w:ind w:left="720"/>
      </w:pPr>
      <w:r/>
      <w:hyperlink r:id="rId12">
        <w:r>
          <w:rPr>
            <w:color w:val="0000EE"/>
            <w:u w:val="single"/>
          </w:rPr>
          <w:t>https://arxiv.org/abs/2411.10125</w:t>
        </w:r>
      </w:hyperlink>
      <w:r>
        <w:t xml:space="preserve"> - The 'Energy-GNoME' project, detailed in a 2024 paper, presents a living database of over 33,000 materials with potential applications in energy technologies. Utilizing machine learning and deep learning tools, the project identifies candidates for thermoelectric materials, novel battery cathodes, and perovskites. This approach aims to accelerate the discovery of materials suited for electricity generation, energy storage, and conversion, thereby supporting the clean energy transition.</w:t>
      </w:r>
      <w:r/>
    </w:p>
    <w:p>
      <w:pPr>
        <w:pStyle w:val="ListNumber"/>
        <w:spacing w:line="240" w:lineRule="auto"/>
        <w:ind w:left="720"/>
      </w:pPr>
      <w:r/>
      <w:hyperlink r:id="rId13">
        <w:r>
          <w:rPr>
            <w:color w:val="0000EE"/>
            <w:u w:val="single"/>
          </w:rPr>
          <w:t>https://www.energy.gov/sites/default/files/2024-04/AI%20EO%20Report%20Section%205.2g%28i%29_043024.pdf</w:t>
        </w:r>
      </w:hyperlink>
      <w:r>
        <w:t xml:space="preserve"> - The U.S. Department of Energy's 2024 report highlights various applications of artificial intelligence in the energy sector. These include identifying methane leaks to reduce emissions, driving materials innovation, mapping subsurface areas for hydrogen and carbon storage, optimizing power plant parameters to reduce CO2 emissions, and accelerating materials discovery. AI's role in guiding experimental design and monitoring physical processes of new technologies, such as fusion and batteries, is also emphasized, showcasing its potential to support the clean energy transition.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zorobotics.com/News.aspx?newsID=16273" TargetMode="External"/><Relationship Id="rId10" Type="http://schemas.openxmlformats.org/officeDocument/2006/relationships/hyperlink" Target="https://news.mit.edu/2025/confronting-ai-energy-conundrum-0702" TargetMode="External"/><Relationship Id="rId11" Type="http://schemas.openxmlformats.org/officeDocument/2006/relationships/hyperlink" Target="https://sustainability.mit.edu/article/mit-energy-initiative-launches-data-center-power-forum" TargetMode="External"/><Relationship Id="rId12" Type="http://schemas.openxmlformats.org/officeDocument/2006/relationships/hyperlink" Target="https://arxiv.org/abs/2411.10125" TargetMode="External"/><Relationship Id="rId13" Type="http://schemas.openxmlformats.org/officeDocument/2006/relationships/hyperlink" Target="https://www.energy.gov/sites/default/files/2024-04/AI%20EO%20Report%20Section%205.2g%28i%29_043024.pdf" TargetMode="External"/><Relationship Id="rId14" Type="http://schemas.openxmlformats.org/officeDocument/2006/relationships/hyperlink" Target="https://energy.mit.edu/news/mit-energy-initiative-funds-seven-early-stage-energy-research-projects/" TargetMode="External"/><Relationship Id="rId15" Type="http://schemas.openxmlformats.org/officeDocument/2006/relationships/hyperlink" Target="https://energy.mit.edu/news/miteis-future-energy-systems-center-funds-ten-new-research-projects-to-advance-the-energy-transiti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