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digital credit ecosystem accelerates with regulatory safeguards and inclusive fintech innovations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South Africa’s digital credit market is accelerating as mobile access, richer data analytics and regulatory modernisation reshape how loans are offered and assessed. According to the original report, consumers are increasingly using independent comparison platforms to evaluate affordability, cost structures and risk exposure, turning these tools into gateways for informed decision‑making in a complex credit environment. </w:t>
      </w:r>
      <w:hyperlink r:id="rId9">
        <w:r>
          <w:rPr>
            <w:color w:val="0000EE"/>
            <w:u w:val="single"/>
          </w:rPr>
          <w:t>[1]</w:t>
        </w:r>
      </w:hyperlink>
      <w:hyperlink r:id="rId10">
        <w:r>
          <w:rPr>
            <w:color w:val="0000EE"/>
            <w:u w:val="single"/>
          </w:rPr>
          <w:t>[5]</w:t>
        </w:r>
      </w:hyperlink>
      <w:r/>
    </w:p>
    <w:p>
      <w:r/>
      <w:r>
        <w:t xml:space="preserve">Economic pressures , from inflation and unemployment to intermittent energy constraints , are changing borrowing patterns and increasing demand for short‑term and embedded credit. Government figures and consumer data show varying debt‑to‑income ratios across demographic groups, reinforcing calls for analytical tools that help users assess repayment risk before taking on new credit. </w:t>
      </w:r>
      <w:hyperlink r:id="rId9">
        <w:r>
          <w:rPr>
            <w:color w:val="0000EE"/>
            <w:u w:val="single"/>
          </w:rPr>
          <w:t>[1]</w:t>
        </w:r>
      </w:hyperlink>
      <w:hyperlink r:id="rId11">
        <w:r>
          <w:rPr>
            <w:color w:val="0000EE"/>
            <w:u w:val="single"/>
          </w:rPr>
          <w:t>[2]</w:t>
        </w:r>
      </w:hyperlink>
      <w:r/>
    </w:p>
    <w:p>
      <w:r/>
      <w:r>
        <w:t xml:space="preserve">Technology is expanding lenders’ toolkit: artificial intelligence, open banking APIs and behavioural analytics are enabling models that ingest alternative data to extend credit to previously underserved customers while improving verification accuracy. The World Bank and industry observers note the potential to broaden access, but also emphasise the need for explainability, bias auditing and ethical safeguards so automated decisions remain fair and contestable. </w:t>
      </w:r>
      <w:hyperlink r:id="rId9">
        <w:r>
          <w:rPr>
            <w:color w:val="0000EE"/>
            <w:u w:val="single"/>
          </w:rPr>
          <w:t>[1]</w:t>
        </w:r>
      </w:hyperlink>
      <w:r/>
    </w:p>
    <w:p>
      <w:r/>
      <w:r>
        <w:t xml:space="preserve">Regulators are responding. The Financial Sector Conduct Authority has flagged rising digital credit applications and is pressing for affordability, transparency and audit‑ready decisioning. Industry proposals and policy research recommend measures such as disclosure frameworks, responsible data practices and testing sandboxes to balance consumer protection with innovation. </w:t>
      </w:r>
      <w:hyperlink r:id="rId9">
        <w:r>
          <w:rPr>
            <w:color w:val="0000EE"/>
            <w:u w:val="single"/>
          </w:rPr>
          <w:t>[1]</w:t>
        </w:r>
      </w:hyperlink>
      <w:hyperlink r:id="rId12">
        <w:r>
          <w:rPr>
            <w:color w:val="0000EE"/>
            <w:u w:val="single"/>
          </w:rPr>
          <w:t>[7]</w:t>
        </w:r>
      </w:hyperlink>
      <w:hyperlink r:id="rId13">
        <w:r>
          <w:rPr>
            <w:color w:val="0000EE"/>
            <w:u w:val="single"/>
          </w:rPr>
          <w:t>[3]</w:t>
        </w:r>
      </w:hyperlink>
      <w:r/>
    </w:p>
    <w:p>
      <w:r/>
      <w:r>
        <w:t xml:space="preserve">Embedded finance and platformised lending are proliferating across e‑commerce, telco and mobility ecosystems, creating convenient credit touchpoints but sometimes obscuring full pricing information. Independent comparison services that work with NCR‑registered providers , and provide free repayment calculators and transparent fee illustrations , are playing an increasingly influential role in restoring comparability and helping consumers understand total cost and term trade‑offs. </w:t>
      </w:r>
      <w:hyperlink r:id="rId9">
        <w:r>
          <w:rPr>
            <w:color w:val="0000EE"/>
            <w:u w:val="single"/>
          </w:rPr>
          <w:t>[1]</w:t>
        </w:r>
      </w:hyperlink>
      <w:hyperlink r:id="rId10">
        <w:r>
          <w:rPr>
            <w:color w:val="0000EE"/>
            <w:u w:val="single"/>
          </w:rPr>
          <w:t>[5]</w:t>
        </w:r>
      </w:hyperlink>
      <w:r/>
    </w:p>
    <w:p>
      <w:r/>
      <w:r>
        <w:t xml:space="preserve">Infrastructure and private‑sector commitments are supporting this shift. Major payment firms and telcos are investing in local data centres and financial services expansion to strengthen digital payments and local processing capacity, a move regulators and ministers have portrayed as enhancing national financial sovereignty and resilience. Such investments are expected to underpin higher smartphone penetration and greater use of embedded financial services across the region. </w:t>
      </w:r>
      <w:hyperlink r:id="rId11">
        <w:r>
          <w:rPr>
            <w:color w:val="0000EE"/>
            <w:u w:val="single"/>
          </w:rPr>
          <w:t>[2]</w:t>
        </w:r>
      </w:hyperlink>
      <w:hyperlink r:id="rId14">
        <w:r>
          <w:rPr>
            <w:color w:val="0000EE"/>
            <w:u w:val="single"/>
          </w:rPr>
          <w:t>[4]</w:t>
        </w:r>
      </w:hyperlink>
      <w:r/>
    </w:p>
    <w:p>
      <w:r/>
      <w:r>
        <w:t xml:space="preserve">Cybersecurity and data protection remain central risks as digital credit scales. Incidents such as synthetic identity fraud and credential‑stuffing attacks highlight the need for encrypted data practices, multi‑factor authentication and real‑time anomaly detection. Think tanks and sector researchers stress that strengthening cybersecurity, consent‑based data collection and transparent retention policies are prerequisites for a resilient ecosystem. </w:t>
      </w:r>
      <w:hyperlink r:id="rId9">
        <w:r>
          <w:rPr>
            <w:color w:val="0000EE"/>
            <w:u w:val="single"/>
          </w:rPr>
          <w:t>[1]</w:t>
        </w:r>
      </w:hyperlink>
      <w:hyperlink r:id="rId15">
        <w:r>
          <w:rPr>
            <w:color w:val="0000EE"/>
            <w:u w:val="single"/>
          </w:rPr>
          <w:t>[6]</w:t>
        </w:r>
      </w:hyperlink>
      <w:r/>
    </w:p>
    <w:p>
      <w:r/>
      <w:r>
        <w:t xml:space="preserve">Building a sustainable digital‑credit future will require coordinated action by regulators, fintech innovators, incumbents, researchers and consumer educators. According to the original report, priorities include enhancing digital financial literacy, improving interoperability, enforcing transparent product design and using controlled testing environments to foster responsible innovation , measures that together can help ensure wider access is matched by protection and fairness. </w:t>
      </w:r>
      <w:hyperlink r:id="rId9">
        <w:r>
          <w:rPr>
            <w:color w:val="0000EE"/>
            <w:u w:val="single"/>
          </w:rPr>
          <w:t>[1]</w:t>
        </w:r>
      </w:hyperlink>
      <w:hyperlink r:id="rId13">
        <w:r>
          <w:rPr>
            <w:color w:val="0000EE"/>
            <w:u w:val="single"/>
          </w:rPr>
          <w:t>[3]</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(TechFinancials) - Paragraph 1, Paragraph 2, Paragraph 3, Paragraph 4, Paragraph 5, Paragraph 7, Paragraph 8 </w:t>
      </w:r>
      <w:r/>
    </w:p>
    <w:p>
      <w:pPr>
        <w:pStyle w:val="ListBullet"/>
        <w:spacing w:line="240" w:lineRule="auto"/>
        <w:ind w:left="720"/>
      </w:pPr>
      <w:r/>
      <w:hyperlink r:id="rId10">
        <w:r>
          <w:rPr>
            <w:color w:val="0000EE"/>
            <w:u w:val="single"/>
          </w:rPr>
          <w:t>[5]</w:t>
        </w:r>
      </w:hyperlink>
      <w:r>
        <w:t xml:space="preserve"> (FatCat Loans) - Paragraph 1, Paragraph 5 </w:t>
      </w:r>
      <w:r/>
    </w:p>
    <w:p>
      <w:pPr>
        <w:pStyle w:val="ListBullet"/>
        <w:spacing w:line="240" w:lineRule="auto"/>
        <w:ind w:left="720"/>
      </w:pPr>
      <w:r/>
      <w:hyperlink r:id="rId12">
        <w:r>
          <w:rPr>
            <w:color w:val="0000EE"/>
            <w:u w:val="single"/>
          </w:rPr>
          <w:t>[7]</w:t>
        </w:r>
      </w:hyperlink>
      <w:r>
        <w:t xml:space="preserve"> (FSCA) - Paragraph 4 </w:t>
      </w:r>
      <w:r/>
    </w:p>
    <w:p>
      <w:pPr>
        <w:pStyle w:val="ListBullet"/>
        <w:spacing w:line="240" w:lineRule="auto"/>
        <w:ind w:left="720"/>
      </w:pPr>
      <w:r/>
      <w:hyperlink r:id="rId13">
        <w:r>
          <w:rPr>
            <w:color w:val="0000EE"/>
            <w:u w:val="single"/>
          </w:rPr>
          <w:t>[3]</w:t>
        </w:r>
      </w:hyperlink>
      <w:r>
        <w:t xml:space="preserve"> (Reuters / Naspers &amp; MISTRA report) - Paragraph 4, Paragraph 8 </w:t>
      </w:r>
      <w:r/>
    </w:p>
    <w:p>
      <w:pPr>
        <w:pStyle w:val="ListBullet"/>
        <w:spacing w:line="240" w:lineRule="auto"/>
        <w:ind w:left="720"/>
      </w:pPr>
      <w:r/>
      <w:hyperlink r:id="rId11">
        <w:r>
          <w:rPr>
            <w:color w:val="0000EE"/>
            <w:u w:val="single"/>
          </w:rPr>
          <w:t>[2]</w:t>
        </w:r>
      </w:hyperlink>
      <w:r>
        <w:t xml:space="preserve"> (Reuters / Visa data centre) - Paragraph 6 </w:t>
      </w:r>
      <w:r/>
    </w:p>
    <w:p>
      <w:pPr>
        <w:pStyle w:val="ListBullet"/>
        <w:spacing w:line="240" w:lineRule="auto"/>
        <w:ind w:left="720"/>
      </w:pPr>
      <w:r/>
      <w:hyperlink r:id="rId14">
        <w:r>
          <w:rPr>
            <w:color w:val="0000EE"/>
            <w:u w:val="single"/>
          </w:rPr>
          <w:t>[4]</w:t>
        </w:r>
      </w:hyperlink>
      <w:r>
        <w:t xml:space="preserve"> (Reuters / Vodacom) - Paragraph 6 </w:t>
      </w:r>
      <w:r/>
    </w:p>
    <w:p>
      <w:pPr>
        <w:pStyle w:val="ListBullet"/>
        <w:spacing w:line="240" w:lineRule="auto"/>
        <w:ind w:left="720"/>
      </w:pPr>
      <w:r/>
      <w:hyperlink r:id="rId15">
        <w:r>
          <w:rPr>
            <w:color w:val="0000EE"/>
            <w:u w:val="single"/>
          </w:rPr>
          <w:t>[6]</w:t>
        </w:r>
      </w:hyperlink>
      <w:r>
        <w:t xml:space="preserve"> (Cenfri) - Paragraph 7,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https://techfinancials.co.za/2025/12/03/understanding-south-africas-digital-credit-evolution/</w:t>
        </w:r>
      </w:hyperlink>
      <w:r>
        <w:t xml:space="preserve"> - Please view link - unable to able to access data</w:t>
      </w:r>
      <w:r/>
    </w:p>
    <w:p>
      <w:pPr>
        <w:pStyle w:val="ListNumber"/>
        <w:spacing w:line="240" w:lineRule="auto"/>
        <w:ind w:left="720"/>
      </w:pPr>
      <w:r/>
      <w:hyperlink r:id="rId11">
        <w:r>
          <w:rPr>
            <w:color w:val="0000EE"/>
            <w:u w:val="single"/>
          </w:rPr>
          <w:t>https://www.reuters.com/world/africa/visa-opens-first-africa-data-centre-johannesburg-2025-07-23/</w:t>
        </w:r>
      </w:hyperlink>
      <w:r>
        <w:t xml:space="preserve"> - Visa Inc has launched its first data centre in Africa, located in Johannesburg, South Africa, as part of a R1 billion ($57 million) investment over the next three years. This move highlights Visa's commitment to the continent's burgeoning digital payments sector. The Johannesburg facility marks a rare expansion of Visa's data infrastructure beyond its primary global hubs in the U.S., UK, and Singapore. It is integrated into VisaNet, the company's global network handling over 100 billion transactions annually in over 200 territories. Africa’s digital payments market is projected to reach $1.5 trillion by 2030, driven by increasing internet access and financial inclusion, according to a report commissioned by Mastercard. Over 60% of face-to-face payments in South Africa are now contactless, positioning the country as a leader in digital innovation within the continent. Visa sees South Africa as a strategic launch pad for expanding digital solutions across Africa. The investment is also part of a broader $1 billion commitment to Africa over five years, initially announced in 2022. South Africa's Communications Minister welcomed the data centre, highlighting its role in strengthening national financial sovereignty and reducing dependency on foreign infrastructure.</w:t>
      </w:r>
      <w:r/>
    </w:p>
    <w:p>
      <w:pPr>
        <w:pStyle w:val="ListNumber"/>
        <w:spacing w:line="240" w:lineRule="auto"/>
        <w:ind w:left="720"/>
      </w:pPr>
      <w:r/>
      <w:hyperlink r:id="rId13">
        <w:r>
          <w:rPr>
            <w:color w:val="0000EE"/>
            <w:u w:val="single"/>
          </w:rPr>
          <w:t>https://www.reuters.com/world/africa/south-african-digital-platforms-need-testing-grounds-speed-innovation-report-2024-08-27/</w:t>
        </w:r>
      </w:hyperlink>
      <w:r>
        <w:t xml:space="preserve"> - A report co-launched by tech investor Naspers and the Mapungubwe Institute for Strategic Reflection (MISTRA) recommends that South African authorities implement regulatory "sandboxes" to accelerate innovation in the country's digital platform economy. These sandboxes would serve as controlled environments for testing new digital services, bypassing full regulatory authorization to reduce costs and time. Although sectors like e-commerce and fintech have grown since the pandemic, digital transformation in South Africa remains slow, and the regulatory framework is still adapting to the digital economy's complexities. The report notes that policymakers face challenges in balancing innovation with consumer protection and fairness, especially around taxation, labor rights, and licensing. It also highlights issues with foreign companies exploiting tax loopholes and regulatory arbitrage, which could disadvantage local platforms. Additional recommendations include strengthening collaboration between regulators and digital businesses, offering incentives for local product sellers, and improving digital infrastructure. These steps could enable the digital sector to contribute up to 91.4 billion rand (approximately $5 billion) to South Africa's economy by 2035.</w:t>
      </w:r>
      <w:r/>
    </w:p>
    <w:p>
      <w:pPr>
        <w:pStyle w:val="ListNumber"/>
        <w:spacing w:line="240" w:lineRule="auto"/>
        <w:ind w:left="720"/>
      </w:pPr>
      <w:r/>
      <w:hyperlink r:id="rId14">
        <w:r>
          <w:rPr>
            <w:color w:val="0000EE"/>
            <w:u w:val="single"/>
          </w:rPr>
          <w:t>https://www.reuters.com/business/media-telecom/south-africas-vodacom-targets-double-digit-profit-growth-by-2030-2025-02-19/</w:t>
        </w:r>
      </w:hyperlink>
      <w:r>
        <w:t xml:space="preserve"> - Vodacom, South Africa’s largest mobile operator, is targeting a double-digit growth in core profits by 2030, up from its latest annual pro-forma EBITDA growth of 7.8%. This strategic goal, part of Vodacom’s "Vision 2030" presented by CEO Shameel Joosub and CFO Raisibe Morathi, aims to accelerate normalized EBITDA growth for 2025–2030 beyond its earlier high single-digit forecast for 2024–2027. Reported EBITDA growth for the year ending March 31 was 24.3%. The company plans to expand its customer base by 50 million to reach 260 million users across eight African nations. Smartphone penetration is expected to rise from 63% to 75%, facilitating growth in its financial services sector. Vodacom anticipates financial services customers increasing by over 35 million from the current 85 million, with targeted revenue growth from the segment between 15% and 20% by 2030. New offerings like wealth management will also be introduced. Full-year revenue is projected to climb from 151 billion rand in 2025 to over 200 billion rand ($10.8 billion) in 2030. Vodacom is majority-owned by Vodafone.</w:t>
      </w:r>
      <w:r/>
    </w:p>
    <w:p>
      <w:pPr>
        <w:pStyle w:val="ListNumber"/>
        <w:spacing w:line="240" w:lineRule="auto"/>
        <w:ind w:left="720"/>
      </w:pPr>
      <w:r/>
      <w:hyperlink r:id="rId10">
        <w:r>
          <w:rPr>
            <w:color w:val="0000EE"/>
            <w:u w:val="single"/>
          </w:rPr>
          <w:t>https://www.fatcatloans.co.za/</w:t>
        </w:r>
      </w:hyperlink>
      <w:r>
        <w:t xml:space="preserve"> - FatCat Loans is an online loan comparison tool and not a credit provider. They work with NCR-registered credit providers in South Africa. Their comparison service to consumers is free of charge. Estimated repayments on a loan of R30,000 over 36 months at a maximum annual interest rate of 28% would be R1,360 per month including an initiation fee and monthly service fees. Interest rates charged by credit providers may, however, start as low as 11%. Repayment terms can range from 6 to 72 months. FatCat Loans offers a loan calculator tool to help users estimate their repayments using different rates and periods.</w:t>
      </w:r>
      <w:r/>
    </w:p>
    <w:p>
      <w:pPr>
        <w:pStyle w:val="ListNumber"/>
        <w:spacing w:line="240" w:lineRule="auto"/>
        <w:ind w:left="720"/>
      </w:pPr>
      <w:r/>
      <w:hyperlink r:id="rId15">
        <w:r>
          <w:rPr>
            <w:color w:val="0000EE"/>
            <w:u w:val="single"/>
          </w:rPr>
          <w:t>https://www.cenfri.org/</w:t>
        </w:r>
      </w:hyperlink>
      <w:r>
        <w:t xml:space="preserve"> - The Centre for Financial Regulation and Inclusion (Cenfri) is a South African think tank that focuses on financial sector development and inclusion. They conduct research and provide insights into various aspects of the financial sector, including digital finance, regulation, and inclusion. Cenfri's work aims to inform policy and practice to promote financial inclusion and stability.</w:t>
      </w:r>
      <w:r/>
    </w:p>
    <w:p>
      <w:pPr>
        <w:pStyle w:val="ListNumber"/>
        <w:spacing w:line="240" w:lineRule="auto"/>
        <w:ind w:left="720"/>
      </w:pPr>
      <w:r/>
      <w:hyperlink r:id="rId12">
        <w:r>
          <w:rPr>
            <w:color w:val="0000EE"/>
            <w:u w:val="single"/>
          </w:rPr>
          <w:t>https://www.fsca.co.za/</w:t>
        </w:r>
      </w:hyperlink>
      <w:r>
        <w:t xml:space="preserve"> - The Financial Sector Conduct Authority (FSCA) is a South African regulatory body that oversees the conduct of financial institutions to ensure fair treatment of customers and the integrity of the financial markets. The FSCA's mandate includes regulating and supervising financial institutions, enforcing compliance with financial laws, and promoting financial literacy and inclusion.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financials.co.za/2025/12/03/understanding-south-africas-digital-credit-evolution/" TargetMode="External"/><Relationship Id="rId10" Type="http://schemas.openxmlformats.org/officeDocument/2006/relationships/hyperlink" Target="https://www.fatcatloans.co.za/" TargetMode="External"/><Relationship Id="rId11" Type="http://schemas.openxmlformats.org/officeDocument/2006/relationships/hyperlink" Target="https://www.reuters.com/world/africa/visa-opens-first-africa-data-centre-johannesburg-2025-07-23/" TargetMode="External"/><Relationship Id="rId12" Type="http://schemas.openxmlformats.org/officeDocument/2006/relationships/hyperlink" Target="https://www.fsca.co.za/" TargetMode="External"/><Relationship Id="rId13" Type="http://schemas.openxmlformats.org/officeDocument/2006/relationships/hyperlink" Target="https://www.reuters.com/world/africa/south-african-digital-platforms-need-testing-grounds-speed-innovation-report-2024-08-27/" TargetMode="External"/><Relationship Id="rId14" Type="http://schemas.openxmlformats.org/officeDocument/2006/relationships/hyperlink" Target="https://www.reuters.com/business/media-telecom/south-africas-vodacom-targets-double-digit-profit-growth-by-2030-2025-02-19/" TargetMode="External"/><Relationship Id="rId15" Type="http://schemas.openxmlformats.org/officeDocument/2006/relationships/hyperlink" Target="https://www.cenfri.or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