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modernisation of risk and compliance opens strategic opportunities amid regulatory caution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Many risk and compliance (R&amp;C) functions remain rooted in labour‑intensive, siloed processes and legacy tools, leaving them costly, slow and often outpaced by the speed of business and technology. According to the original report, these teams nevertheless hold untapped potential that digital reengineering has largely bypassed , a gap now closing as leaders recognise the return on modernising R&amp;C. </w:t>
      </w:r>
      <w:hyperlink r:id="rId9">
        <w:r>
          <w:rPr>
            <w:color w:val="0000EE"/>
            <w:u w:val="single"/>
          </w:rPr>
          <w:t>[1]</w:t>
        </w:r>
      </w:hyperlink>
      <w:hyperlink r:id="rId9">
        <w:r>
          <w:rPr>
            <w:color w:val="0000EE"/>
            <w:u w:val="single"/>
          </w:rPr>
          <w:t>[2]</w:t>
        </w:r>
      </w:hyperlink>
      <w:r/>
    </w:p>
    <w:p>
      <w:r/>
      <w:r>
        <w:t xml:space="preserve">A key catalyst is growing regulator openness to the responsible use of AI, which, combined with executive appetite for speed and smart risk‑taking, creates a narrow window to modernise without abandoning controls. Industry commentary highlights both regulators’ caution and their acknowledgement that AI can enhance detection, monitoring and operational resilience when governed appropriately. </w:t>
      </w:r>
      <w:hyperlink r:id="rId9">
        <w:r>
          <w:rPr>
            <w:color w:val="0000EE"/>
            <w:u w:val="single"/>
          </w:rPr>
          <w:t>[1]</w:t>
        </w:r>
      </w:hyperlink>
      <w:hyperlink r:id="rId10">
        <w:r>
          <w:rPr>
            <w:color w:val="0000EE"/>
            <w:u w:val="single"/>
          </w:rPr>
          <w:t>[5]</w:t>
        </w:r>
      </w:hyperlink>
      <w:r/>
    </w:p>
    <w:p>
      <w:r/>
      <w:r>
        <w:t xml:space="preserve">Practical AI applications for R&amp;C span automation of repetitive workflows, continuous risk‑signal monitoring, real‑time insights for decision‑making and agentic tools that scale skilled teams’ capacity. The PwC piece details how these capabilities can reduce operating expense while enabling R&amp;C functions to act as strategic advisers rather than back‑office validators. </w:t>
      </w:r>
      <w:hyperlink r:id="rId9">
        <w:r>
          <w:rPr>
            <w:color w:val="0000EE"/>
            <w:u w:val="single"/>
          </w:rPr>
          <w:t>[1]</w:t>
        </w:r>
      </w:hyperlink>
      <w:hyperlink r:id="rId9">
        <w:r>
          <w:rPr>
            <w:color w:val="0000EE"/>
            <w:u w:val="single"/>
          </w:rPr>
          <w:t>[2]</w:t>
        </w:r>
      </w:hyperlink>
      <w:r/>
    </w:p>
    <w:p>
      <w:r/>
      <w:r>
        <w:t xml:space="preserve">Yet implementing AI is technically and organisationally demanding. Problems with data quality and labelling, model interpretability, infrastructure gaps, real‑time processing limits and model drift are common hurdles that require cross‑functional solutions , from data engineering to change management. Thought pieces note that without these foundations, AI outputs can be flawed or misleading. </w:t>
      </w:r>
      <w:hyperlink r:id="rId11">
        <w:r>
          <w:rPr>
            <w:color w:val="0000EE"/>
            <w:u w:val="single"/>
          </w:rPr>
          <w:t>[3]</w:t>
        </w:r>
      </w:hyperlink>
      <w:hyperlink r:id="rId12">
        <w:r>
          <w:rPr>
            <w:color w:val="0000EE"/>
            <w:u w:val="single"/>
          </w:rPr>
          <w:t>[7]</w:t>
        </w:r>
      </w:hyperlink>
      <w:r/>
    </w:p>
    <w:p>
      <w:r/>
      <w:r>
        <w:t xml:space="preserve">Ethical and governance risks add another layer of complexity. Academic and legal commentary warns that biased training data, opaque models and overreliance on automated decisions can produce discriminatory outcomes or make regulatory explanations difficult; those risks must be mitigated through explainability, audit trails and human oversight. </w:t>
      </w:r>
      <w:hyperlink r:id="rId13">
        <w:r>
          <w:rPr>
            <w:color w:val="0000EE"/>
            <w:u w:val="single"/>
          </w:rPr>
          <w:t>[4]</w:t>
        </w:r>
      </w:hyperlink>
      <w:hyperlink r:id="rId12">
        <w:r>
          <w:rPr>
            <w:color w:val="0000EE"/>
            <w:u w:val="single"/>
          </w:rPr>
          <w:t>[7]</w:t>
        </w:r>
      </w:hyperlink>
      <w:r/>
    </w:p>
    <w:p>
      <w:r/>
      <w:r>
        <w:t xml:space="preserve">Real‑world experience shows both promise and cost. Senior policymakers and surveys of firms report tangible benefits in fraud detection and efficiency, but also early financial losses and compliance missteps where controls or validation were insufficient , reinforcing the need for “responsible AI” practices embedded from design through deployment. </w:t>
      </w:r>
      <w:hyperlink r:id="rId10">
        <w:r>
          <w:rPr>
            <w:color w:val="0000EE"/>
            <w:u w:val="single"/>
          </w:rPr>
          <w:t>[5]</w:t>
        </w:r>
      </w:hyperlink>
      <w:hyperlink r:id="rId14">
        <w:r>
          <w:rPr>
            <w:color w:val="0000EE"/>
            <w:u w:val="single"/>
          </w:rPr>
          <w:t>[6]</w:t>
        </w:r>
      </w:hyperlink>
      <w:r/>
    </w:p>
    <w:p>
      <w:r/>
      <w:r>
        <w:t xml:space="preserve">For R&amp;C leaders the path forward is pragmatic: prioritise high‑value use cases, invest in data and engineering foundations, embed transparent governance and monitoring, and phase deployments with human‑in‑the‑loop checkpoints. Done well, AI can convert compliance from a cost centre into a strategic accelerator that helps firms navigate geopolitical, regulatory and technological uncertainty. </w:t>
      </w:r>
      <w:hyperlink r:id="rId9">
        <w:r>
          <w:rPr>
            <w:color w:val="0000EE"/>
            <w:u w:val="single"/>
          </w:rPr>
          <w:t>[1]</w:t>
        </w:r>
      </w:hyperlink>
      <w:hyperlink r:id="rId11">
        <w:r>
          <w:rPr>
            <w:color w:val="0000EE"/>
            <w:u w:val="single"/>
          </w:rPr>
          <w:t>[3]</w:t>
        </w:r>
      </w:hyperlink>
      <w:hyperlink r:id="rId13">
        <w:r>
          <w:rPr>
            <w:color w:val="0000EE"/>
            <w:u w:val="single"/>
          </w:rPr>
          <w:t>[4]</w:t>
        </w:r>
      </w:hyperlink>
      <w:hyperlink r:id="rId12">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(PwC) - Paragraph 1, Paragraph 2, Paragraph 3, Paragraph 7 </w:t>
      </w:r>
      <w:r/>
    </w:p>
    <w:p>
      <w:pPr>
        <w:pStyle w:val="ListBullet"/>
        <w:spacing w:line="240" w:lineRule="auto"/>
        <w:ind w:left="720"/>
      </w:pPr>
      <w:r/>
      <w:hyperlink r:id="rId9">
        <w:r>
          <w:rPr>
            <w:color w:val="0000EE"/>
            <w:u w:val="single"/>
          </w:rPr>
          <w:t>[2]</w:t>
        </w:r>
      </w:hyperlink>
      <w:r>
        <w:t xml:space="preserve"> (PwC summary) - Paragraph 1, Paragraph 3 </w:t>
      </w:r>
      <w:r/>
    </w:p>
    <w:p>
      <w:pPr>
        <w:pStyle w:val="ListBullet"/>
        <w:spacing w:line="240" w:lineRule="auto"/>
        <w:ind w:left="720"/>
      </w:pPr>
      <w:r/>
      <w:hyperlink r:id="rId11">
        <w:r>
          <w:rPr>
            <w:color w:val="0000EE"/>
            <w:u w:val="single"/>
          </w:rPr>
          <w:t>[3]</w:t>
        </w:r>
      </w:hyperlink>
      <w:r>
        <w:t xml:space="preserve"> (Squareboat) - Paragraph 4, Paragraph 7 </w:t>
      </w:r>
      <w:r/>
    </w:p>
    <w:p>
      <w:pPr>
        <w:pStyle w:val="ListBullet"/>
        <w:spacing w:line="240" w:lineRule="auto"/>
        <w:ind w:left="720"/>
      </w:pPr>
      <w:r/>
      <w:hyperlink r:id="rId13">
        <w:r>
          <w:rPr>
            <w:color w:val="0000EE"/>
            <w:u w:val="single"/>
          </w:rPr>
          <w:t>[4]</w:t>
        </w:r>
      </w:hyperlink>
      <w:r>
        <w:t xml:space="preserve"> (Seattle U Law) - Paragraph 5, Paragraph 7 </w:t>
      </w:r>
      <w:r/>
    </w:p>
    <w:p>
      <w:pPr>
        <w:pStyle w:val="ListBullet"/>
        <w:spacing w:line="240" w:lineRule="auto"/>
        <w:ind w:left="720"/>
      </w:pPr>
      <w:r/>
      <w:hyperlink r:id="rId10">
        <w:r>
          <w:rPr>
            <w:color w:val="0000EE"/>
            <w:u w:val="single"/>
          </w:rPr>
          <w:t>[5]</w:t>
        </w:r>
      </w:hyperlink>
      <w:r>
        <w:t xml:space="preserve"> (Reuters , Yellen) - Paragraph 2, Paragraph 6 </w:t>
      </w:r>
      <w:r/>
    </w:p>
    <w:p>
      <w:pPr>
        <w:pStyle w:val="ListBullet"/>
        <w:spacing w:line="240" w:lineRule="auto"/>
        <w:ind w:left="720"/>
      </w:pPr>
      <w:r/>
      <w:hyperlink r:id="rId14">
        <w:r>
          <w:rPr>
            <w:color w:val="0000EE"/>
            <w:u w:val="single"/>
          </w:rPr>
          <w:t>[6]</w:t>
        </w:r>
      </w:hyperlink>
      <w:r>
        <w:t xml:space="preserve"> (Reuters , EY survey) - Paragraph 6 </w:t>
      </w:r>
      <w:r/>
    </w:p>
    <w:p>
      <w:pPr>
        <w:pStyle w:val="ListBullet"/>
        <w:spacing w:line="240" w:lineRule="auto"/>
        <w:ind w:left="720"/>
      </w:pPr>
      <w:r/>
      <w:hyperlink r:id="rId12">
        <w:r>
          <w:rPr>
            <w:color w:val="0000EE"/>
            <w:u w:val="single"/>
          </w:rPr>
          <w:t>[7]</w:t>
        </w:r>
      </w:hyperlink>
      <w:r>
        <w:t xml:space="preserve"> (Thomson Reuters / corporate solutions) - Paragraph 4, Paragraph 5,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https://www.pwc.com/us/en/services/consulting/cybersecurity-risk-regulatory/library/ai-powered-risk-compliance.html</w:t>
        </w:r>
      </w:hyperlink>
      <w:r>
        <w:t xml:space="preserve"> - Please view link - unable to able to access data</w:t>
      </w:r>
      <w:r/>
    </w:p>
    <w:p>
      <w:pPr>
        <w:pStyle w:val="ListNumber"/>
        <w:spacing w:line="240" w:lineRule="auto"/>
        <w:ind w:left="720"/>
      </w:pPr>
      <w:r/>
      <w:hyperlink r:id="rId9">
        <w:r>
          <w:rPr>
            <w:color w:val="0000EE"/>
            <w:u w:val="single"/>
          </w:rPr>
          <w:t>https://www.pwc.com/us/en/services/consulting/cybersecurity-risk-regulatory/library/ai-powered-risk-compliance.html</w:t>
        </w:r>
      </w:hyperlink>
      <w:r>
        <w:t xml:space="preserve"> - This article discusses the challenges faced by risk management and compliance (R&amp;C) functions, highlighting their reliance on outdated tools and siloed processes. It emphasizes the untapped potential within these teams and the growing openness among regulators towards the responsible use of AI. The piece advocates for the modernization of R&amp;C functions using AI to enhance efficiency, speed, capacity, and growth, positioning these teams as strategic advisors to the business.</w:t>
      </w:r>
      <w:r/>
    </w:p>
    <w:p>
      <w:pPr>
        <w:pStyle w:val="ListNumber"/>
        <w:spacing w:line="240" w:lineRule="auto"/>
        <w:ind w:left="720"/>
      </w:pPr>
      <w:r/>
      <w:hyperlink r:id="rId11">
        <w:r>
          <w:rPr>
            <w:color w:val="0000EE"/>
            <w:u w:val="single"/>
          </w:rPr>
          <w:t>https://www.squareboat.com/blog/ai-in-risk-management</w:t>
        </w:r>
      </w:hyperlink>
      <w:r>
        <w:t xml:space="preserve"> - This blog post outlines the key use cases, future prospects, and challenges of implementing AI in risk management. It identifies technical challenges such as data quality and labeling issues, model interpretability, regulatory compliance risks, bias in training data, real-time processing constraints, model drift, infrastructure gaps, and the need for cross-functional collaboration. The article provides insights into the complexities of integrating AI into risk management processes.</w:t>
      </w:r>
      <w:r/>
    </w:p>
    <w:p>
      <w:pPr>
        <w:pStyle w:val="ListNumber"/>
        <w:spacing w:line="240" w:lineRule="auto"/>
        <w:ind w:left="720"/>
      </w:pPr>
      <w:r/>
      <w:hyperlink r:id="rId13">
        <w:r>
          <w:rPr>
            <w:color w:val="0000EE"/>
            <w:u w:val="single"/>
          </w:rPr>
          <w:t>https://onlinelaw.seattleu.edu/blog/ai-in-compliance-exploring-the-benefits-risks-and-regulatory-challenges/</w:t>
        </w:r>
      </w:hyperlink>
      <w:r>
        <w:t xml:space="preserve"> - This article explores the benefits and risks of using AI in compliance, focusing on ethical issues like bias, discrimination, and lack of transparency. It discusses how AI systems can unintentionally perpetuate biases present in historical data, leading to unintended consequences. The piece also highlights the challenges posed by the opacity of AI models, making it difficult for compliance professionals to explain AI-driven decisions to regulators, and the potential overreliance on AI in compliance processes.</w:t>
      </w:r>
      <w:r/>
    </w:p>
    <w:p>
      <w:pPr>
        <w:pStyle w:val="ListNumber"/>
        <w:spacing w:line="240" w:lineRule="auto"/>
        <w:ind w:left="720"/>
      </w:pPr>
      <w:r/>
      <w:hyperlink r:id="rId10">
        <w:r>
          <w:rPr>
            <w:color w:val="0000EE"/>
            <w:u w:val="single"/>
          </w:rPr>
          <w:t>https://www.reuters.com/business/finance/yellen-warn-significant-risks-use-ai-finance-2024-06-05/</w:t>
        </w:r>
      </w:hyperlink>
      <w:r>
        <w:t xml:space="preserve"> - In this article, U.S. Treasury Secretary Janet Yellen warns about the 'significant risks' associated with the use of artificial intelligence in the financial sector. She highlights concerns such as the complexity and opacity of AI models, inadequate risk management frameworks, and overreliance on common data sources and vendors, which could amplify systemic vulnerabilities. Yellen acknowledges the benefits of AI, including enhanced customer service and fraud detection, but emphasizes the need for careful monitoring and regulation.</w:t>
      </w:r>
      <w:r/>
    </w:p>
    <w:p>
      <w:pPr>
        <w:pStyle w:val="ListNumber"/>
        <w:spacing w:line="240" w:lineRule="auto"/>
        <w:ind w:left="720"/>
      </w:pPr>
      <w:r/>
      <w:hyperlink r:id="rId14">
        <w:r>
          <w:rPr>
            <w:color w:val="0000EE"/>
            <w:u w:val="single"/>
          </w:rPr>
          <w:t>https://www.reuters.com/business/most-companies-suffer-some-risk-related-financial-loss-deploying-ai-ey-survey-2025-10-08/</w:t>
        </w:r>
      </w:hyperlink>
      <w:r>
        <w:t xml:space="preserve"> - This Reuters article reports on an EY survey revealing that nearly every major company implementing AI has experienced some initial financial loss, totaling an estimated $4.4 billion across the surveyed firms. The losses were mainly attributed to compliance issues, flawed AI outputs, bias, and sustainability disruptions, rather than reputational or legal issues. Despite these setbacks, most companies remain optimistic about AI's long-term benefits and emphasize the importance of 'Responsible AI' practices.</w:t>
      </w:r>
      <w:r/>
    </w:p>
    <w:p>
      <w:pPr>
        <w:pStyle w:val="ListNumber"/>
        <w:spacing w:line="240" w:lineRule="auto"/>
        <w:ind w:left="720"/>
      </w:pPr>
      <w:r/>
      <w:hyperlink r:id="rId12">
        <w:r>
          <w:rPr>
            <w:color w:val="0000EE"/>
            <w:u w:val="single"/>
          </w:rPr>
          <w:t>https://www.thomsonreuters.com/en/c/corporation-solutions/solving-corporate-challenges/how-genai-can-transform-risk-management-and-compliance</w:t>
        </w:r>
      </w:hyperlink>
      <w:r>
        <w:t xml:space="preserve"> - This article discusses the transformative potential of Generative AI (GenAI) in risk management and compliance. It highlights benefits such as creating assets and insights, streamlining processes, flagging errors, optimizing processes, and enabling innovation. However, it also addresses challenges like data quantity and quality, transparency, and explainability. The piece emphasizes the need for organizations to establish robust AI policies to ensure fairness, transparency, and accountability in AI-driven decision-making processes.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wc.com/us/en/services/consulting/cybersecurity-risk-regulatory/library/ai-powered-risk-compliance.html" TargetMode="External"/><Relationship Id="rId10" Type="http://schemas.openxmlformats.org/officeDocument/2006/relationships/hyperlink" Target="https://www.reuters.com/business/finance/yellen-warn-significant-risks-use-ai-finance-2024-06-05/" TargetMode="External"/><Relationship Id="rId11" Type="http://schemas.openxmlformats.org/officeDocument/2006/relationships/hyperlink" Target="https://www.squareboat.com/blog/ai-in-risk-management" TargetMode="External"/><Relationship Id="rId12" Type="http://schemas.openxmlformats.org/officeDocument/2006/relationships/hyperlink" Target="https://www.thomsonreuters.com/en/c/corporation-solutions/solving-corporate-challenges/how-genai-can-transform-risk-management-and-compliance" TargetMode="External"/><Relationship Id="rId13" Type="http://schemas.openxmlformats.org/officeDocument/2006/relationships/hyperlink" Target="https://onlinelaw.seattleu.edu/blog/ai-in-compliance-exploring-the-benefits-risks-and-regulatory-challenges/" TargetMode="External"/><Relationship Id="rId14" Type="http://schemas.openxmlformats.org/officeDocument/2006/relationships/hyperlink" Target="https://www.reuters.com/business/most-companies-suffer-some-risk-related-financial-loss-deploying-ai-ey-survey-2025-10-0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