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Gulf monarchies accelerate digital transformation with distinct regional strategies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According to the original report, the Gulf monarchies are undergoing a rapid digital shift that is reshaping their economic and strategic trajectories as they move beyond hydrocarbon dependence. </w:t>
      </w:r>
      <w:hyperlink r:id="rId9">
        <w:r>
          <w:rPr>
            <w:color w:val="0000EE"/>
            <w:u w:val="single"/>
          </w:rPr>
          <w:t>[1]</w:t>
        </w:r>
      </w:hyperlink>
      <w:r>
        <w:t xml:space="preserve"> Industry data shows Saudi Arabia, the United Arab Emirates (UAE) and Qatar share common objectives , building knowledge-based economies, attracting specialised talent and developing advanced technological capabilities , but they are pursuing markedly different pathways to those ends. </w:t>
      </w:r>
      <w:hyperlink r:id="rId10">
        <w:r>
          <w:rPr>
            <w:color w:val="0000EE"/>
            <w:u w:val="single"/>
          </w:rPr>
          <w:t>[2]</w:t>
        </w:r>
      </w:hyperlink>
      <w:hyperlink r:id="rId11">
        <w:r>
          <w:rPr>
            <w:color w:val="0000EE"/>
            <w:u w:val="single"/>
          </w:rPr>
          <w:t>[3]</w:t>
        </w:r>
      </w:hyperlink>
      <w:r/>
    </w:p>
    <w:p>
      <w:r/>
      <w:r>
        <w:t xml:space="preserve">The three states deploy state-led instruments to drive transformation: sovereign wealth funds, national industrial programmes and large-scale infrastructure projects aimed at data centres, cloud computing, semiconductors and AI capacity. The lead account notes the Public Investment Fund, Mubadala, ADQ and the Qatar Investment Authority as central actors; regional and multilateral assessments corroborate that strategic capital is financing an accelerated digital build-out. </w:t>
      </w:r>
      <w:hyperlink r:id="rId9">
        <w:r>
          <w:rPr>
            <w:color w:val="0000EE"/>
            <w:u w:val="single"/>
          </w:rPr>
          <w:t>[1]</w:t>
        </w:r>
      </w:hyperlink>
      <w:hyperlink r:id="rId10">
        <w:r>
          <w:rPr>
            <w:color w:val="0000EE"/>
            <w:u w:val="single"/>
          </w:rPr>
          <w:t>[2]</w:t>
        </w:r>
      </w:hyperlink>
      <w:hyperlink r:id="rId12">
        <w:r>
          <w:rPr>
            <w:color w:val="0000EE"/>
            <w:u w:val="single"/>
          </w:rPr>
          <w:t>[5]</w:t>
        </w:r>
      </w:hyperlink>
      <w:r/>
    </w:p>
    <w:p>
      <w:r/>
      <w:r>
        <w:t xml:space="preserve">Saudi Arabia’s model is highly centralised and infrastructure-led, anchored in megaprojects and top-down programmes intended to create a domestic technology fabric that can host global companies. External analyses point to sizeable tech funds and partnerships with US firms as part of Riyadh’s effort to scale AI capabilities rapidly. </w:t>
      </w:r>
      <w:hyperlink r:id="rId9">
        <w:r>
          <w:rPr>
            <w:color w:val="0000EE"/>
            <w:u w:val="single"/>
          </w:rPr>
          <w:t>[1]</w:t>
        </w:r>
      </w:hyperlink>
      <w:hyperlink r:id="rId11">
        <w:r>
          <w:rPr>
            <w:color w:val="0000EE"/>
            <w:u w:val="single"/>
          </w:rPr>
          <w:t>[3]</w:t>
        </w:r>
      </w:hyperlink>
      <w:hyperlink r:id="rId13">
        <w:r>
          <w:rPr>
            <w:color w:val="0000EE"/>
            <w:u w:val="single"/>
          </w:rPr>
          <w:t>[6]</w:t>
        </w:r>
      </w:hyperlink>
      <w:r/>
    </w:p>
    <w:p>
      <w:r/>
      <w:r>
        <w:t xml:space="preserve">The UAE presents a polycentric, market-friendly model that mixes specialised urban hubs with active private-sector engagement. According to regional reporting and consultancy studies, Abu Dhabi’s industrial and advanced-technology push and Dubai’s fintech and commercial ecosystems are bolstered by major international partnerships and sizable foreign investment in AI and high-performance computing. </w:t>
      </w:r>
      <w:hyperlink r:id="rId9">
        <w:r>
          <w:rPr>
            <w:color w:val="0000EE"/>
            <w:u w:val="single"/>
          </w:rPr>
          <w:t>[1]</w:t>
        </w:r>
      </w:hyperlink>
      <w:hyperlink r:id="rId10">
        <w:r>
          <w:rPr>
            <w:color w:val="0000EE"/>
            <w:u w:val="single"/>
          </w:rPr>
          <w:t>[2]</w:t>
        </w:r>
      </w:hyperlink>
      <w:hyperlink r:id="rId12">
        <w:r>
          <w:rPr>
            <w:color w:val="0000EE"/>
            <w:u w:val="single"/>
          </w:rPr>
          <w:t>[5]</w:t>
        </w:r>
      </w:hyperlink>
      <w:hyperlink r:id="rId13">
        <w:r>
          <w:rPr>
            <w:color w:val="0000EE"/>
            <w:u w:val="single"/>
          </w:rPr>
          <w:t>[6]</w:t>
        </w:r>
      </w:hyperlink>
      <w:r/>
    </w:p>
    <w:p>
      <w:r/>
      <w:r>
        <w:t xml:space="preserve">Qatar’s approach is more compact and human-capital intensive, prioritising education, research and the measured integration of technology into public services. Consultancy and government sources highlight Doha’s emphasis on academic partnerships, research centres and initiatives to digitise public services , a strategy designed to cultivate specialised talent and institutional resilience. </w:t>
      </w:r>
      <w:hyperlink r:id="rId9">
        <w:r>
          <w:rPr>
            <w:color w:val="0000EE"/>
            <w:u w:val="single"/>
          </w:rPr>
          <w:t>[1]</w:t>
        </w:r>
      </w:hyperlink>
      <w:hyperlink r:id="rId14">
        <w:r>
          <w:rPr>
            <w:color w:val="0000EE"/>
            <w:u w:val="single"/>
          </w:rPr>
          <w:t>[4]</w:t>
        </w:r>
      </w:hyperlink>
      <w:r/>
    </w:p>
    <w:p>
      <w:r/>
      <w:r>
        <w:t xml:space="preserve">These divergent domestic blueprints are mirrored in different external alignments. The lead report links the UAE’s diplomatic openness after the Abraham Accords to growing technological cooperation with Israeli firms in cybersecurity and autonomous systems; other sources confirm broad international partnerships with US, European and Asian technology providers across the region. Saudi Arabia remains more cautious publicly, though its defence and investment ties with Western partners leave open the prospect of deeper technology collaboration if political conditions permit. Qatar continues to prioritise relations with the United States, Europe, Turkey and Asia while maintaining a distinct diplomatic posture. </w:t>
      </w:r>
      <w:hyperlink r:id="rId9">
        <w:r>
          <w:rPr>
            <w:color w:val="0000EE"/>
            <w:u w:val="single"/>
          </w:rPr>
          <w:t>[1]</w:t>
        </w:r>
      </w:hyperlink>
      <w:hyperlink r:id="rId10">
        <w:r>
          <w:rPr>
            <w:color w:val="0000EE"/>
            <w:u w:val="single"/>
          </w:rPr>
          <w:t>[2]</w:t>
        </w:r>
      </w:hyperlink>
      <w:hyperlink r:id="rId12">
        <w:r>
          <w:rPr>
            <w:color w:val="0000EE"/>
            <w:u w:val="single"/>
          </w:rPr>
          <w:t>[5]</w:t>
        </w:r>
      </w:hyperlink>
      <w:r/>
    </w:p>
    <w:p>
      <w:r/>
      <w:r>
        <w:t xml:space="preserve">Multilateral analyses emphasise that the Gulf’s digital ambitions are already delivering resilience and diversification gains but also expose policy trade-offs. Reports from the World Bank and IMF underline that substantial progress in digital infrastructure and AI readiness , with the UAE and Saudi Arabia among the most prepared in the GCC , must be matched by ongoing investment in regulation, human capital and governance to translate capability into sustainable growth. </w:t>
      </w:r>
      <w:hyperlink r:id="rId10">
        <w:r>
          <w:rPr>
            <w:color w:val="0000EE"/>
            <w:u w:val="single"/>
          </w:rPr>
          <w:t>[2]</w:t>
        </w:r>
      </w:hyperlink>
      <w:hyperlink r:id="rId15">
        <w:r>
          <w:rPr>
            <w:color w:val="0000EE"/>
            <w:u w:val="single"/>
          </w:rPr>
          <w:t>[7]</w:t>
        </w:r>
      </w:hyperlink>
      <w:r/>
    </w:p>
    <w:p>
      <w:r/>
      <w:r>
        <w:t xml:space="preserve">The strategic conclusion is that digital competition has become a central dimension of national security and regional influence in the Gulf. While all three monarchies aim to anchor future prosperity in technology, their differing mixes of state direction, private-sector openness and human-capital focus will shape distinct models of regional power and economic resilience. Policymakers and investors should therefore assess opportunities and risks through the dual lenses of technological capability and geopolitical alignment. </w:t>
      </w:r>
      <w:hyperlink r:id="rId9">
        <w:r>
          <w:rPr>
            <w:color w:val="0000EE"/>
            <w:u w:val="single"/>
          </w:rPr>
          <w:t>[1]</w:t>
        </w:r>
      </w:hyperlink>
      <w:hyperlink r:id="rId10">
        <w:r>
          <w:rPr>
            <w:color w:val="0000EE"/>
            <w:u w:val="single"/>
          </w:rPr>
          <w:t>[2]</w:t>
        </w:r>
      </w:hyperlink>
      <w:hyperlink r:id="rId11">
        <w:r>
          <w:rPr>
            <w:color w:val="0000EE"/>
            <w:u w:val="single"/>
          </w:rPr>
          <w:t>[3]</w:t>
        </w:r>
      </w:hyperlink>
      <w:hyperlink r:id="rId13">
        <w:r>
          <w:rPr>
            <w:color w:val="0000EE"/>
            <w:u w:val="single"/>
          </w:rPr>
          <w:t>[6]</w:t>
        </w:r>
      </w:hyperlink>
      <w:hyperlink r:id="rId15">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(RedHotCyber) - Paragraph 1, Paragraph 2, Paragraph 3, Paragraph 4, Paragraph 6, Paragraph 8 </w:t>
      </w:r>
      <w:r/>
    </w:p>
    <w:p>
      <w:pPr>
        <w:pStyle w:val="ListBullet"/>
        <w:spacing w:line="240" w:lineRule="auto"/>
        <w:ind w:left="720"/>
      </w:pPr>
      <w:r/>
      <w:hyperlink r:id="rId10">
        <w:r>
          <w:rPr>
            <w:color w:val="0000EE"/>
            <w:u w:val="single"/>
          </w:rPr>
          <w:t>[2]</w:t>
        </w:r>
      </w:hyperlink>
      <w:r>
        <w:t xml:space="preserve"> (World Bank) - Paragraph 2, Paragraph 4, Paragraph 7, Paragraph 8 </w:t>
      </w:r>
      <w:r/>
    </w:p>
    <w:p>
      <w:pPr>
        <w:pStyle w:val="ListBullet"/>
        <w:spacing w:line="240" w:lineRule="auto"/>
        <w:ind w:left="720"/>
      </w:pPr>
      <w:r/>
      <w:hyperlink r:id="rId11">
        <w:r>
          <w:rPr>
            <w:color w:val="0000EE"/>
            <w:u w:val="single"/>
          </w:rPr>
          <w:t>[3]</w:t>
        </w:r>
      </w:hyperlink>
      <w:r>
        <w:t xml:space="preserve"> (ISPI) - Paragraph 3, Paragraph 8 </w:t>
      </w:r>
      <w:r/>
    </w:p>
    <w:p>
      <w:pPr>
        <w:pStyle w:val="ListBullet"/>
        <w:spacing w:line="240" w:lineRule="auto"/>
        <w:ind w:left="720"/>
      </w:pPr>
      <w:r/>
      <w:hyperlink r:id="rId14">
        <w:r>
          <w:rPr>
            <w:color w:val="0000EE"/>
            <w:u w:val="single"/>
          </w:rPr>
          <w:t>[4]</w:t>
        </w:r>
      </w:hyperlink>
      <w:r>
        <w:t xml:space="preserve"> (PwC - Qatar article) - Paragraph 5 </w:t>
      </w:r>
      <w:r/>
    </w:p>
    <w:p>
      <w:pPr>
        <w:pStyle w:val="ListBullet"/>
        <w:spacing w:line="240" w:lineRule="auto"/>
        <w:ind w:left="720"/>
      </w:pPr>
      <w:r/>
      <w:hyperlink r:id="rId12">
        <w:r>
          <w:rPr>
            <w:color w:val="0000EE"/>
            <w:u w:val="single"/>
          </w:rPr>
          <w:t>[5]</w:t>
        </w:r>
      </w:hyperlink>
      <w:r>
        <w:t xml:space="preserve"> (PwC - Middle East reports) - Paragraph 2, Paragraph 4, Paragraph 6 </w:t>
      </w:r>
      <w:r/>
    </w:p>
    <w:p>
      <w:pPr>
        <w:pStyle w:val="ListBullet"/>
        <w:spacing w:line="240" w:lineRule="auto"/>
        <w:ind w:left="720"/>
      </w:pPr>
      <w:r/>
      <w:hyperlink r:id="rId13">
        <w:r>
          <w:rPr>
            <w:color w:val="0000EE"/>
            <w:u w:val="single"/>
          </w:rPr>
          <w:t>[6]</w:t>
        </w:r>
      </w:hyperlink>
      <w:r>
        <w:t xml:space="preserve"> (PwC TransAct 2025) - Paragraph 3, Paragraph 8 </w:t>
      </w:r>
      <w:r/>
    </w:p>
    <w:p>
      <w:pPr>
        <w:pStyle w:val="ListBullet"/>
        <w:spacing w:line="240" w:lineRule="auto"/>
        <w:ind w:left="720"/>
      </w:pPr>
      <w:r/>
      <w:hyperlink r:id="rId15">
        <w:r>
          <w:rPr>
            <w:color w:val="0000EE"/>
            <w:u w:val="single"/>
          </w:rPr>
          <w:t>[7]</w:t>
        </w:r>
      </w:hyperlink>
      <w:r>
        <w:t xml:space="preserve"> (IMF)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https://www.redhotcyber.com/en/post/gulf-states-digital-transformation-a-new-era-of-innovation-and-security/</w:t>
        </w:r>
      </w:hyperlink>
      <w:r>
        <w:t xml:space="preserve"> - Please view link - unable to able to access data</w:t>
      </w:r>
      <w:r/>
    </w:p>
    <w:p>
      <w:pPr>
        <w:pStyle w:val="ListNumber"/>
        <w:spacing w:line="240" w:lineRule="auto"/>
        <w:ind w:left="720"/>
      </w:pPr>
      <w:r/>
      <w:hyperlink r:id="rId10">
        <w:r>
          <w:rPr>
            <w:color w:val="0000EE"/>
            <w:u w:val="single"/>
          </w:rPr>
          <w:t>https://www.worldbank.org/en/news/press-release/2025/12/04/gcc-economies-demonstrate-resilience-advance-diversification-and-accelerate-digital-transformation</w:t>
        </w:r>
      </w:hyperlink>
      <w:r>
        <w:t xml:space="preserve"> - The World Bank's Gulf Economic Update highlights the Gulf Cooperation Council (GCC) countries' progress in economic diversification and digital transformation. It notes that Saudi Arabia and the UAE are emerging as regional and global leaders in AI, supported by advanced telecom networks and significant investments in data centres and high-performance computing systems. The report underscores the importance of strategic investments in non-oil sectors and innovation for sustaining growth and stability in the region.</w:t>
      </w:r>
      <w:r/>
    </w:p>
    <w:p>
      <w:pPr>
        <w:pStyle w:val="ListNumber"/>
        <w:spacing w:line="240" w:lineRule="auto"/>
        <w:ind w:left="720"/>
      </w:pPr>
      <w:r/>
      <w:hyperlink r:id="rId11">
        <w:r>
          <w:rPr>
            <w:color w:val="0000EE"/>
            <w:u w:val="single"/>
          </w:rPr>
          <w:t>https://www.ispionline.it/en/publication/strategic-technology-in-the-middle-east-gulf-states-place-in-the-ai-race-198131</w:t>
        </w:r>
      </w:hyperlink>
      <w:r>
        <w:t xml:space="preserve"> - This analysis discusses the Gulf States' ambitions to become leaders in artificial intelligence (AI). Saudi Arabia is investing heavily in AI infrastructure, including a $40 billion tech fund and partnerships with US-based companies like Groq and Google Cloud. The UAE and Qatar have also launched national AI strategies, with Qatar developing its own Arabic-centric large language model, Fanar. The article highlights the region's collective efforts to position itself as a global AI hub.</w:t>
      </w:r>
      <w:r/>
    </w:p>
    <w:p>
      <w:pPr>
        <w:pStyle w:val="ListNumber"/>
        <w:spacing w:line="240" w:lineRule="auto"/>
        <w:ind w:left="720"/>
      </w:pPr>
      <w:r/>
      <w:hyperlink r:id="rId14">
        <w:r>
          <w:rPr>
            <w:color w:val="0000EE"/>
            <w:u w:val="single"/>
          </w:rPr>
          <w:t>https://www.pwc.com/m1/en/media-centre/articles/qatar-strategically-invests-in-digital-infrastructure.html</w:t>
        </w:r>
      </w:hyperlink>
      <w:r>
        <w:t xml:space="preserve"> - PwC discusses Qatar's strategic investments in digital infrastructure, focusing on integrating emerging technologies like AI, blockchain, and IoT to digitise public services. The article highlights Qatar's commitment to its National Vision 2030, aiming to digitise 90% of public services and attract international investment. It also mentions the development of the Digital Agenda 2030 and the country's emphasis on AI as a key priority sector for economic diversification and innovation.</w:t>
      </w:r>
      <w:r/>
    </w:p>
    <w:p>
      <w:pPr>
        <w:pStyle w:val="ListNumber"/>
        <w:spacing w:line="240" w:lineRule="auto"/>
        <w:ind w:left="720"/>
      </w:pPr>
      <w:r/>
      <w:hyperlink r:id="rId12">
        <w:r>
          <w:rPr>
            <w:color w:val="0000EE"/>
            <w:u w:val="single"/>
          </w:rPr>
          <w:t>https://www.pwc.com/m1/en/publications/economy-watch/september-2024/meew-september-2024.pdf</w:t>
        </w:r>
      </w:hyperlink>
      <w:r>
        <w:t xml:space="preserve"> - PwC's Middle East Economy Watch report highlights the Gulf Cooperation Council (GCC) countries' focus on artificial intelligence (AI) and digital transformation. It notes that GCC companies have established relationships with major US tech firms like Google, Microsoft, and Amazon, facilitating cooperation in AI. The report also mentions Microsoft's $1.5 billion investment in Abu Dhabi's G42 and Silver Lake's $800 million investment in 2021, indicating strong international partnerships in the region's AI sector.</w:t>
      </w:r>
      <w:r/>
    </w:p>
    <w:p>
      <w:pPr>
        <w:pStyle w:val="ListNumber"/>
        <w:spacing w:line="240" w:lineRule="auto"/>
        <w:ind w:left="720"/>
      </w:pPr>
      <w:r/>
      <w:hyperlink r:id="rId13">
        <w:r>
          <w:rPr>
            <w:color w:val="0000EE"/>
            <w:u w:val="single"/>
          </w:rPr>
          <w:t>https://www.pwc.com/m1/en/publications/2025/docs/Transact-2025-MiddleEast.pdf</w:t>
        </w:r>
      </w:hyperlink>
      <w:r>
        <w:t xml:space="preserve"> - PwC's TransAct 2025 report outlines significant investments in AI and digital infrastructure in the Middle East. It details Saudi Arabia's 'Project Transcendence,' a $100 billion initiative to accelerate tech infrastructure investment and grow the Kingdom's AI ecosystem. The report also discusses the UAE's establishment of the Artificial Intelligence and Advanced Technology Council and the appointment of a Chief AI Executive, reflecting a unified national approach to AI integration across federal entities.</w:t>
      </w:r>
      <w:r/>
    </w:p>
    <w:p>
      <w:pPr>
        <w:pStyle w:val="ListNumber"/>
        <w:spacing w:line="240" w:lineRule="auto"/>
        <w:ind w:left="720"/>
      </w:pPr>
      <w:r/>
      <w:hyperlink r:id="rId15">
        <w:r>
          <w:rPr>
            <w:color w:val="0000EE"/>
            <w:u w:val="single"/>
          </w:rPr>
          <w:t>https://www.imf.org/-/media/Files/Publications/DP/2025/English/DTIGCCEA.ashx</w:t>
        </w:r>
      </w:hyperlink>
      <w:r>
        <w:t xml:space="preserve"> - The International Monetary Fund's report on digital transformation in the Gulf Cooperation Council (GCC) economies assesses the region's preparedness for embracing artificial intelligence (AI). It highlights that the UAE and Saudi Arabia are the most AI-ready countries in the GCC, ranking 36th and 45th globally, respectively. The report emphasizes the need for continued progress in digital infrastructure, innovation, human capital, and regulation to fully leverage AI's potential in the region.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dhotcyber.com/en/post/gulf-states-digital-transformation-a-new-era-of-innovation-and-security/" TargetMode="External"/><Relationship Id="rId10" Type="http://schemas.openxmlformats.org/officeDocument/2006/relationships/hyperlink" Target="https://www.worldbank.org/en/news/press-release/2025/12/04/gcc-economies-demonstrate-resilience-advance-diversification-and-accelerate-digital-transformation" TargetMode="External"/><Relationship Id="rId11" Type="http://schemas.openxmlformats.org/officeDocument/2006/relationships/hyperlink" Target="https://www.ispionline.it/en/publication/strategic-technology-in-the-middle-east-gulf-states-place-in-the-ai-race-198131" TargetMode="External"/><Relationship Id="rId12" Type="http://schemas.openxmlformats.org/officeDocument/2006/relationships/hyperlink" Target="https://www.pwc.com/m1/en/publications/economy-watch/september-2024/meew-september-2024.pdf" TargetMode="External"/><Relationship Id="rId13" Type="http://schemas.openxmlformats.org/officeDocument/2006/relationships/hyperlink" Target="https://www.pwc.com/m1/en/publications/2025/docs/Transact-2025-MiddleEast.pdf" TargetMode="External"/><Relationship Id="rId14" Type="http://schemas.openxmlformats.org/officeDocument/2006/relationships/hyperlink" Target="https://www.pwc.com/m1/en/media-centre/articles/qatar-strategically-invests-in-digital-infrastructure.html" TargetMode="External"/><Relationship Id="rId15" Type="http://schemas.openxmlformats.org/officeDocument/2006/relationships/hyperlink" Target="https://www.imf.org/-/media/Files/Publications/DP/2025/English/DTIGCCEA.ashx"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