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ISO 42001 drives corporate shift towards accountable AI governance amid rising regulation and audits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rapid shift of artificial intelligence from experimental projects to mission‑critical infrastructure has left many organisations scrambling to catch up with governance needs. According to the original report, pilot systems that once served narrow functions have expanded into customer‑facing chatbots, automated decision‑makers and embedded tools across hiring, lending and other high‑stakes processes , often without appropriate management in place. </w:t>
      </w:r>
      <w:hyperlink r:id="rId9">
        <w:r>
          <w:rPr>
            <w:color w:val="0000EE"/>
            <w:u w:val="single"/>
          </w:rPr>
          <w:t>[1]</w:t>
        </w:r>
      </w:hyperlink>
      <w:hyperlink r:id="rId10">
        <w:r>
          <w:rPr>
            <w:color w:val="0000EE"/>
            <w:u w:val="single"/>
          </w:rPr>
          <w:t>[2]</w:t>
        </w:r>
      </w:hyperlink>
      <w:r/>
    </w:p>
    <w:p>
      <w:r/>
      <w:r>
        <w:t xml:space="preserve">That gap is why ISO/IEC 42001 has moved to the forefront of corporate risk and compliance planning. The international standard specifies requirements for establishing, implementing, maintaining and continually improving an Artificial Intelligence Management System (AIMS), and is designed for organisations that provide or use AI‑based products and services. Industry commentary shows firms view it as practical guidance for ethical, transparent and auditable AI practice. </w:t>
      </w:r>
      <w:hyperlink r:id="rId10">
        <w:r>
          <w:rPr>
            <w:color w:val="0000EE"/>
            <w:u w:val="single"/>
          </w:rPr>
          <w:t>[2]</w:t>
        </w:r>
      </w:hyperlink>
      <w:hyperlink r:id="rId11">
        <w:r>
          <w:rPr>
            <w:color w:val="0000EE"/>
            <w:u w:val="single"/>
          </w:rPr>
          <w:t>[3]</w:t>
        </w:r>
      </w:hyperlink>
      <w:r/>
    </w:p>
    <w:p>
      <w:r/>
      <w:r>
        <w:t xml:space="preserve">The momentum accelerated after a string of high‑profile AI failures made headlines and regulators began to respond. The original reporting notes examples such as biased hiring algorithms, opaque credit‑decision models and wayward chatbots; simultaneously, the EU AI Act and other emerging rules have crystallised legal obligations for higher‑risk systems, raising the bar for documentation, accountability and lifecycle controls. </w:t>
      </w:r>
      <w:hyperlink r:id="rId9">
        <w:r>
          <w:rPr>
            <w:color w:val="0000EE"/>
            <w:u w:val="single"/>
          </w:rPr>
          <w:t>[1]</w:t>
        </w:r>
      </w:hyperlink>
      <w:hyperlink r:id="rId10">
        <w:r>
          <w:rPr>
            <w:color w:val="0000EE"/>
            <w:u w:val="single"/>
          </w:rPr>
          <w:t>[2]</w:t>
        </w:r>
      </w:hyperlink>
      <w:r/>
    </w:p>
    <w:p>
      <w:r/>
      <w:r>
        <w:t xml:space="preserve">Insurers, investors and enterprise customers have added pressure by demanding evidence of systematic AI governance. Deloitte and market observers report that procurement processes increasingly require either certification or demonstrable management systems before vendors receive sensitive data or core workflows, particularly in regulated sectors such as finance, healthcare and government contracting. </w:t>
      </w:r>
      <w:hyperlink r:id="rId11">
        <w:r>
          <w:rPr>
            <w:color w:val="0000EE"/>
            <w:u w:val="single"/>
          </w:rPr>
          <w:t>[3]</w:t>
        </w:r>
      </w:hyperlink>
      <w:hyperlink r:id="rId9">
        <w:r>
          <w:rPr>
            <w:color w:val="0000EE"/>
            <w:u w:val="single"/>
          </w:rPr>
          <w:t>[1]</w:t>
        </w:r>
      </w:hyperlink>
      <w:r/>
    </w:p>
    <w:p>
      <w:r/>
      <w:r>
        <w:t xml:space="preserve">A key reason firms are turning to ISO 42001 is that traditional software or IT governance frameworks do not address AI’s unique properties. Unlike static applications, AI systems learn and adapt, producing outputs that can be difficult to predict or audit. The standard is intended to cover AI‑specific challenges including data governance, model development, ongoing monitoring and incident response. </w:t>
      </w:r>
      <w:hyperlink r:id="rId9">
        <w:r>
          <w:rPr>
            <w:color w:val="0000EE"/>
            <w:u w:val="single"/>
          </w:rPr>
          <w:t>[1]</w:t>
        </w:r>
      </w:hyperlink>
      <w:hyperlink r:id="rId10">
        <w:r>
          <w:rPr>
            <w:color w:val="0000EE"/>
            <w:u w:val="single"/>
          </w:rPr>
          <w:t>[2]</w:t>
        </w:r>
      </w:hyperlink>
      <w:r/>
    </w:p>
    <w:p>
      <w:r/>
      <w:r>
        <w:t xml:space="preserve">Implementing the standard is not a quick checkbox. Practical guidance and consultancy resources note implementation typically requires months of assessment, cross‑functional project leadership, named executive accountability and sustained operational resources to maintain controls over time. Organisations with established compliance systems can move faster; those starting from scratch face a longer build. </w:t>
      </w:r>
      <w:hyperlink r:id="rId10">
        <w:r>
          <w:rPr>
            <w:color w:val="0000EE"/>
            <w:u w:val="single"/>
          </w:rPr>
          <w:t>[2]</w:t>
        </w:r>
      </w:hyperlink>
      <w:hyperlink r:id="rId11">
        <w:r>
          <w:rPr>
            <w:color w:val="0000EE"/>
            <w:u w:val="single"/>
          </w:rPr>
          <w:t>[3]</w:t>
        </w:r>
      </w:hyperlink>
      <w:hyperlink r:id="rId12">
        <w:r>
          <w:rPr>
            <w:color w:val="0000EE"/>
            <w:u w:val="single"/>
          </w:rPr>
          <w:t>[4]</w:t>
        </w:r>
      </w:hyperlink>
      <w:r/>
    </w:p>
    <w:p>
      <w:r/>
      <w:r>
        <w:t xml:space="preserve">Beyond external compliance, organisations commonly report unexpected internal benefits. The original article and industry analyses describe improved cross‑functional collaboration, clearer accountability for decision points, faster project delivery once governance is settled, and stronger documentation that reduces single‑person dependencies. These operational gains help convert ISO 42001 from a regulatory hedge into an efficiency and resilience tool. </w:t>
      </w:r>
      <w:hyperlink r:id="rId9">
        <w:r>
          <w:rPr>
            <w:color w:val="0000EE"/>
            <w:u w:val="single"/>
          </w:rPr>
          <w:t>[1]</w:t>
        </w:r>
      </w:hyperlink>
      <w:hyperlink r:id="rId11">
        <w:r>
          <w:rPr>
            <w:color w:val="0000EE"/>
            <w:u w:val="single"/>
          </w:rPr>
          <w:t>[3]</w:t>
        </w:r>
      </w:hyperlink>
      <w:r/>
    </w:p>
    <w:p>
      <w:r/>
      <w:r>
        <w:t xml:space="preserve">Board‑level engagement is a recurring theme in guidance on the standard. Several analyses underline that ISO 42001 elevates AI accountability to executives and boards, requiring policies, risk thresholds and named owners for material AI decisions and ensuring live, retrievable evidence of senior oversight. This shifts responsibility from technical teams alone to corporate stewardship. </w:t>
      </w:r>
      <w:hyperlink r:id="rId12">
        <w:r>
          <w:rPr>
            <w:color w:val="0000EE"/>
            <w:u w:val="single"/>
          </w:rPr>
          <w:t>[4]</w:t>
        </w:r>
      </w:hyperlink>
      <w:hyperlink r:id="rId13">
        <w:r>
          <w:rPr>
            <w:color w:val="0000EE"/>
            <w:u w:val="single"/>
          </w:rPr>
          <w:t>[6]</w:t>
        </w:r>
      </w:hyperlink>
      <w:r/>
    </w:p>
    <w:p>
      <w:r/>
      <w:r>
        <w:t xml:space="preserve">Maturity modelling and implementation frameworks emphasise that true governance is cultural as well as technical. Industry writing recommends embedding ethics, transparency and continuous improvement into the AI product lifecycle , from design through retirement , with feedback loops, auditability and agile controls so systems can be corrected in real time as risks evolve. </w:t>
      </w:r>
      <w:hyperlink r:id="rId13">
        <w:r>
          <w:rPr>
            <w:color w:val="0000EE"/>
            <w:u w:val="single"/>
          </w:rPr>
          <w:t>[6]</w:t>
        </w:r>
      </w:hyperlink>
      <w:hyperlink r:id="rId14">
        <w:r>
          <w:rPr>
            <w:color w:val="0000EE"/>
            <w:u w:val="single"/>
          </w:rPr>
          <w:t>[7]</w:t>
        </w:r>
      </w:hyperlink>
      <w:hyperlink r:id="rId15">
        <w:r>
          <w:rPr>
            <w:color w:val="0000EE"/>
            <w:u w:val="single"/>
          </w:rPr>
          <w:t>[5]</w:t>
        </w:r>
      </w:hyperlink>
      <w:r/>
    </w:p>
    <w:p>
      <w:r/>
      <w:r>
        <w:t xml:space="preserve">For many organisations, ISO 42001 is becoming the de facto reference point as regulators, customers and insurers converge on common expectations. The standard does not eliminate the need for judgement, but industry observers argue that adopting its requirements helps firms avoid scrambling when regulations arrive and provides a common language to assess peer capabilities and spot those operating without adequate controls. </w:t>
      </w:r>
      <w:hyperlink r:id="rId9">
        <w:r>
          <w:rPr>
            <w:color w:val="0000EE"/>
            <w:u w:val="single"/>
          </w:rPr>
          <w:t>[1]</w:t>
        </w:r>
      </w:hyperlink>
      <w:hyperlink r:id="rId10">
        <w:r>
          <w:rPr>
            <w:color w:val="0000EE"/>
            <w:u w:val="single"/>
          </w:rPr>
          <w:t>[2]</w:t>
        </w:r>
      </w:hyperlink>
      <w:hyperlink r:id="rId11">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(Big Easy Magazine) - Paragraph 1, Paragraph 3, Paragraph 4, Paragraph 7, Paragraph 10 </w:t>
      </w:r>
      <w:r/>
    </w:p>
    <w:p>
      <w:pPr>
        <w:pStyle w:val="ListBullet"/>
        <w:spacing w:line="240" w:lineRule="auto"/>
        <w:ind w:left="720"/>
      </w:pPr>
      <w:r/>
      <w:hyperlink r:id="rId10">
        <w:r>
          <w:rPr>
            <w:color w:val="0000EE"/>
            <w:u w:val="single"/>
          </w:rPr>
          <w:t>[2]</w:t>
        </w:r>
      </w:hyperlink>
      <w:r>
        <w:t xml:space="preserve"> (ISO) - Paragraph 2, Paragraph 3, Paragraph 5, Paragraph 6, Paragraph 10 </w:t>
      </w:r>
      <w:r/>
    </w:p>
    <w:p>
      <w:pPr>
        <w:pStyle w:val="ListBullet"/>
        <w:spacing w:line="240" w:lineRule="auto"/>
        <w:ind w:left="720"/>
      </w:pPr>
      <w:r/>
      <w:hyperlink r:id="rId11">
        <w:r>
          <w:rPr>
            <w:color w:val="0000EE"/>
            <w:u w:val="single"/>
          </w:rPr>
          <w:t>[3]</w:t>
        </w:r>
      </w:hyperlink>
      <w:r>
        <w:t xml:space="preserve"> (Deloitte) - Paragraph 2, Paragraph 4, Paragraph 6, Paragraph 7, Paragraph 10 </w:t>
      </w:r>
      <w:r/>
    </w:p>
    <w:p>
      <w:pPr>
        <w:pStyle w:val="ListBullet"/>
        <w:spacing w:line="240" w:lineRule="auto"/>
        <w:ind w:left="720"/>
      </w:pPr>
      <w:r/>
      <w:hyperlink r:id="rId12">
        <w:r>
          <w:rPr>
            <w:color w:val="0000EE"/>
            <w:u w:val="single"/>
          </w:rPr>
          <w:t>[4]</w:t>
        </w:r>
      </w:hyperlink>
      <w:r>
        <w:t xml:space="preserve"> (ISMS.online , decision‑making support) - Paragraph 6, Paragraph 8 </w:t>
      </w:r>
      <w:r/>
    </w:p>
    <w:p>
      <w:pPr>
        <w:pStyle w:val="ListBullet"/>
        <w:spacing w:line="240" w:lineRule="auto"/>
        <w:ind w:left="720"/>
      </w:pPr>
      <w:r/>
      <w:hyperlink r:id="rId15">
        <w:r>
          <w:rPr>
            <w:color w:val="0000EE"/>
            <w:u w:val="single"/>
          </w:rPr>
          <w:t>[5]</w:t>
        </w:r>
      </w:hyperlink>
      <w:r>
        <w:t xml:space="preserve"> (ISMS.online , fairness/transparency) - Paragraph 9 </w:t>
      </w:r>
      <w:r/>
    </w:p>
    <w:p>
      <w:pPr>
        <w:pStyle w:val="ListBullet"/>
        <w:spacing w:line="240" w:lineRule="auto"/>
        <w:ind w:left="720"/>
      </w:pPr>
      <w:r/>
      <w:hyperlink r:id="rId13">
        <w:r>
          <w:rPr>
            <w:color w:val="0000EE"/>
            <w:u w:val="single"/>
          </w:rPr>
          <w:t>[6]</w:t>
        </w:r>
      </w:hyperlink>
      <w:r>
        <w:t xml:space="preserve"> (ISMS.online , maturity modelling) - Paragraph 8, Paragraph 9 </w:t>
      </w:r>
      <w:r/>
    </w:p>
    <w:p>
      <w:pPr>
        <w:pStyle w:val="ListBullet"/>
        <w:spacing w:line="240" w:lineRule="auto"/>
        <w:ind w:left="720"/>
      </w:pPr>
      <w:r/>
      <w:hyperlink r:id="rId14">
        <w:r>
          <w:rPr>
            <w:color w:val="0000EE"/>
            <w:u w:val="single"/>
          </w:rPr>
          <w:t>[7]</w:t>
        </w:r>
      </w:hyperlink>
      <w:r>
        <w:t xml:space="preserve"> (ISMS.online , product lifecycle)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https://bigeasymagazine.com/2025/12/04/why-companies-are-racing-to-implement-iso-42001-for-ai-governance/</w:t>
        </w:r>
      </w:hyperlink>
      <w:r>
        <w:t xml:space="preserve"> - Please view link - unable to able to access data</w:t>
      </w:r>
      <w:r/>
    </w:p>
    <w:p>
      <w:pPr>
        <w:pStyle w:val="ListNumber"/>
        <w:spacing w:line="240" w:lineRule="auto"/>
        <w:ind w:left="720"/>
      </w:pPr>
      <w:r/>
      <w:hyperlink r:id="rId10">
        <w:r>
          <w:rPr>
            <w:color w:val="0000EE"/>
            <w:u w:val="single"/>
          </w:rPr>
          <w:t>https://www.iso.org/standard/81230.html</w:t>
        </w:r>
      </w:hyperlink>
      <w:r>
        <w:t xml:space="preserve"> - ISO/IEC 42001:2023 is the first international standard specifying requirements for establishing, implementing, maintaining, and continually improving an Artificial Intelligence Management System (AIMS) within organizations. It is designed for entities providing or utilizing AI-based products or services, ensuring responsible development and use of AI systems. The standard addresses unique challenges posed by AI, such as ethical considerations, transparency, and continuous learning, providing valuable guidance in this rapidly evolving field of technology.</w:t>
      </w:r>
      <w:r/>
    </w:p>
    <w:p>
      <w:pPr>
        <w:pStyle w:val="ListNumber"/>
        <w:spacing w:line="240" w:lineRule="auto"/>
        <w:ind w:left="720"/>
      </w:pPr>
      <w:r/>
      <w:hyperlink r:id="rId11">
        <w:r>
          <w:rPr>
            <w:color w:val="0000EE"/>
            <w:u w:val="single"/>
          </w:rPr>
          <w:t>https://www.deloitte.com/content/websites/us/en/services/consulting/articles/iso-42001-standard-ai-governance-risk-management</w:t>
        </w:r>
      </w:hyperlink>
      <w:r>
        <w:t xml:space="preserve"> - Deloitte discusses ISO 42001, a standard for AI governance and risk management, emphasizing its importance in managing AI-related risks effectively. The article highlights how aligning with ISO 42001 can help organizations navigate the complexities of AI governance and compliance, demonstrating market readiness of AI systems. It also covers the benefits of certification, including building customer trust and staying ahead of regulatory requirements, and outlines the steps organizations can take to implement the standard.</w:t>
      </w:r>
      <w:r/>
    </w:p>
    <w:p>
      <w:pPr>
        <w:pStyle w:val="ListNumber"/>
        <w:spacing w:line="240" w:lineRule="auto"/>
        <w:ind w:left="720"/>
      </w:pPr>
      <w:r/>
      <w:hyperlink r:id="rId12">
        <w:r>
          <w:rPr>
            <w:color w:val="0000EE"/>
            <w:u w:val="single"/>
          </w:rPr>
          <w:t>https://www.isms.online/frameworks/iso-42001/iso-42001-decision-making-support-and-strategic-ai-oversight/</w:t>
        </w:r>
      </w:hyperlink>
      <w:r>
        <w:t xml:space="preserve"> - This article explains how ISO 42001 assigns direct accountability for AI outcomes to boards and senior executives, making it an executive function. It emphasizes the need for policies, risk thresholds, and material decisions to carry signatures from those with legal and fiduciary responsibility. The piece outlines operationalizing accountability through assigning named executive owners for each AI process, placing AI strategy and risk on every board agenda, and requiring live, retrievable evidence of executive engagement.</w:t>
      </w:r>
      <w:r/>
    </w:p>
    <w:p>
      <w:pPr>
        <w:pStyle w:val="ListNumber"/>
        <w:spacing w:line="240" w:lineRule="auto"/>
        <w:ind w:left="720"/>
      </w:pPr>
      <w:r/>
      <w:hyperlink r:id="rId15">
        <w:r>
          <w:rPr>
            <w:color w:val="0000EE"/>
            <w:u w:val="single"/>
          </w:rPr>
          <w:t>https://www.isms.online/frameworks/iso-42001/implement-ai-models-that-adhere-to-fairness-transparency-and-accountability-principles-with-iso-42001/</w:t>
        </w:r>
      </w:hyperlink>
      <w:r>
        <w:t xml:space="preserve"> - The article discusses how ISO 42001 operationalizes accountability in AI systems, tying together C-suite executives, developers, and end-line processes. It outlines the importance of embedding governance throughout the AI product lifecycle, from design to retirement, to prevent compliance breaches. The piece emphasizes the need for real-time correction and continuous improvement, highlighting that static compliance is insufficient in the fast-paced AI environment, and advocates for agile governance to adapt to new risks or regulations.</w:t>
      </w:r>
      <w:r/>
    </w:p>
    <w:p>
      <w:pPr>
        <w:pStyle w:val="ListNumber"/>
        <w:spacing w:line="240" w:lineRule="auto"/>
        <w:ind w:left="720"/>
      </w:pPr>
      <w:r/>
      <w:hyperlink r:id="rId13">
        <w:r>
          <w:rPr>
            <w:color w:val="0000EE"/>
            <w:u w:val="single"/>
          </w:rPr>
          <w:t>https://www.isms.online/frameworks/iso-42001/iso-42001-and-ai-governance-maturity-modelling/</w:t>
        </w:r>
      </w:hyperlink>
      <w:r>
        <w:t xml:space="preserve"> - This article explores the concept of AI governance maturity, emphasizing that real maturity starts at the top with the C-suite owning AI accountability. It discusses the importance of governance and ethics as foundational elements, the need for AI to be aligned with business strategy, and the necessity for technology and infrastructure to support auditability and control. The piece highlights that mature organizations make ethics and transparency cultural norms, while immature ones let them slip under pressure.</w:t>
      </w:r>
      <w:r/>
    </w:p>
    <w:p>
      <w:pPr>
        <w:pStyle w:val="ListNumber"/>
        <w:spacing w:line="240" w:lineRule="auto"/>
        <w:ind w:left="720"/>
      </w:pPr>
      <w:r/>
      <w:hyperlink r:id="rId14">
        <w:r>
          <w:rPr>
            <w:color w:val="0000EE"/>
            <w:u w:val="single"/>
          </w:rPr>
          <w:t>https://www.isms.online/frameworks/iso-42001/design-ai-driven-products-with-governance-compliance-and-ethical-considerations-in-mind-with-iso-42001/</w:t>
        </w:r>
      </w:hyperlink>
      <w:r>
        <w:t xml:space="preserve"> - The article emphasizes the necessity of embedding governance throughout the entire AI product lifecycle to prevent compliance breaches. It discusses the importance of real-time correction and continuous improvement, advocating for agile governance that enables real-time improvement, fast adaptation to new risks or regulations, and a culture of constant audit readiness. The piece highlights that industry leaders embed feedback loops, making every sprint, release, or incident fuel for improving the next cycle.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geasymagazine.com/2025/12/04/why-companies-are-racing-to-implement-iso-42001-for-ai-governance/" TargetMode="External"/><Relationship Id="rId10" Type="http://schemas.openxmlformats.org/officeDocument/2006/relationships/hyperlink" Target="https://www.iso.org/standard/81230.html" TargetMode="External"/><Relationship Id="rId11" Type="http://schemas.openxmlformats.org/officeDocument/2006/relationships/hyperlink" Target="https://www.deloitte.com/content/websites/us/en/services/consulting/articles/iso-42001-standard-ai-governance-risk-management" TargetMode="External"/><Relationship Id="rId12" Type="http://schemas.openxmlformats.org/officeDocument/2006/relationships/hyperlink" Target="https://www.isms.online/frameworks/iso-42001/iso-42001-decision-making-support-and-strategic-ai-oversight/" TargetMode="External"/><Relationship Id="rId13" Type="http://schemas.openxmlformats.org/officeDocument/2006/relationships/hyperlink" Target="https://www.isms.online/frameworks/iso-42001/iso-42001-and-ai-governance-maturity-modelling/" TargetMode="External"/><Relationship Id="rId14" Type="http://schemas.openxmlformats.org/officeDocument/2006/relationships/hyperlink" Target="https://www.isms.online/frameworks/iso-42001/design-ai-driven-products-with-governance-compliance-and-ethical-considerations-in-mind-with-iso-42001/" TargetMode="External"/><Relationship Id="rId15" Type="http://schemas.openxmlformats.org/officeDocument/2006/relationships/hyperlink" Target="https://www.isms.online/frameworks/iso-42001/implement-ai-models-that-adhere-to-fairness-transparency-and-accountability-principles-with-iso-4200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