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unveils $711 billion clean investment push while UK accelerates gas price shock measures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capital are shifting, governments and investors are prioritising energy security, industrial competitiveness and nature disclosure, and that matters because billions are being steered into clean infrastructure, long-duration storage and credible reporting frameworks right now.</w:t>
      </w:r>
      <w:r/>
    </w:p>
    <w:p>
      <w:r/>
      <w:r>
        <w:t>Essential Takeaways</w:t>
      </w:r>
      <w:r/>
      <w:r/>
    </w:p>
    <w:p>
      <w:pPr>
        <w:pStyle w:val="ListBullet"/>
        <w:spacing w:line="240" w:lineRule="auto"/>
        <w:ind w:left="720"/>
      </w:pPr>
      <w:r/>
      <w:r>
        <w:rPr>
          <w:b/>
        </w:rPr>
        <w:t>Big money commitment:</w:t>
      </w:r>
      <w:r>
        <w:t xml:space="preserve"> The EU’s €650bn (about $711bn) clean investment plan aims to boost grid, storage and renewables, signalling large-scale public backing for energy security.</w:t>
      </w:r>
      <w:r/>
    </w:p>
    <w:p>
      <w:pPr>
        <w:pStyle w:val="ListBullet"/>
        <w:spacing w:line="240" w:lineRule="auto"/>
        <w:ind w:left="720"/>
      </w:pPr>
      <w:r/>
      <w:r>
        <w:rPr>
          <w:b/>
        </w:rPr>
        <w:t>Disclosure moving on nature:</w:t>
      </w:r>
      <w:r>
        <w:t xml:space="preserve"> The ISSB has agreed a proposed way forward for nature-related disclosures under IFRS, which means companies will soon face clearer expectations on biodiversity and ecosystems.</w:t>
      </w:r>
      <w:r/>
    </w:p>
    <w:p>
      <w:pPr>
        <w:pStyle w:val="ListBullet"/>
        <w:spacing w:line="240" w:lineRule="auto"/>
        <w:ind w:left="720"/>
      </w:pPr>
      <w:r/>
      <w:r>
        <w:rPr>
          <w:b/>
        </w:rPr>
        <w:t>Capital chasing resilience:</w:t>
      </w:r>
      <w:r>
        <w:t xml:space="preserve"> Investors are funneling deals into long-duration storage, wind, SAF and emerging-market climate finance, favouring assets that offer reliability and measurable outcomes.</w:t>
      </w:r>
      <w:r/>
    </w:p>
    <w:p>
      <w:pPr>
        <w:pStyle w:val="ListBullet"/>
        <w:spacing w:line="240" w:lineRule="auto"/>
        <w:ind w:left="720"/>
      </w:pPr>
      <w:r/>
      <w:r>
        <w:rPr>
          <w:b/>
        </w:rPr>
        <w:t>Data and tools rising:</w:t>
      </w:r>
      <w:r>
        <w:t xml:space="preserve"> AI-driven reporting, supply-chain mapping and grid planning tools are gaining traction, improving the quality and comparability of sustainability claims.</w:t>
      </w:r>
      <w:r/>
    </w:p>
    <w:p>
      <w:pPr>
        <w:pStyle w:val="ListBullet"/>
        <w:spacing w:line="240" w:lineRule="auto"/>
        <w:ind w:left="720"/>
      </w:pPr>
      <w:r/>
      <w:r>
        <w:rPr>
          <w:b/>
        </w:rPr>
        <w:t>Practical impact:</w:t>
      </w:r>
      <w:r>
        <w:t xml:space="preserve"> Firms exposed to gas-price shocks or weak disclosure risk higher financing costs, so operational upgrades and robust measurement are becoming business-critical.</w:t>
      </w:r>
      <w:r/>
      <w:r/>
    </w:p>
    <w:p>
      <w:pPr>
        <w:pStyle w:val="Heading2"/>
      </w:pPr>
      <w:r>
        <w:t>EU’s €650bn clean push: what it actually means for projects</w:t>
      </w:r>
      <w:r/>
    </w:p>
    <w:p>
      <w:r/>
      <w:r>
        <w:t>The European Commission’s headline package is both bold and tactile, money aimed at pipelines of projects, not just glossy targets, so you’ll see more grid upgrades, storage and retrofits hitting the ground. Industry players told ESG outlets they expect faster permitting and a clearer pipeline, a relief when projects have historically stalled in planning phases. For investors, this reduces execution risk and makes long-duration storage and firming technologies more bankable. If you’re assessing opportunities, favour projects with grid integration and offtake arrangements, because the EU funding is designed to unlock private capital where public money de-risks the first loss.</w:t>
      </w:r>
      <w:r/>
    </w:p>
    <w:p>
      <w:pPr>
        <w:pStyle w:val="Heading2"/>
      </w:pPr>
      <w:r>
        <w:t>Nature disclosure is stepping out of theory and into rules</w:t>
      </w:r>
      <w:r/>
    </w:p>
    <w:p>
      <w:r/>
      <w:r>
        <w:t>The ISSB’s agreement on a way forward for nature-related disclosures under IFRS marks a shift from voluntary biodiversity reporting to something much more structured. According to the IFRS announcements, the aim is to align terminology and metrics so companies can report consistently on impacts, dependencies and risks tied to ecosystems. That’s practical for investors who’ve long struggled to compare biodiversity performance across portfolios. For corporates, start mapping material nature dependencies now, ecosystem services, supply-chain hotspots and land-use exposures, because clearer standards mean disclosure gaps will soon translate into investor questions or capital friction.</w:t>
      </w:r>
      <w:r/>
    </w:p>
    <w:p>
      <w:pPr>
        <w:pStyle w:val="Heading2"/>
      </w:pPr>
      <w:r>
        <w:t>Why energy security and competitiveness are now top boardroom priorities</w:t>
      </w:r>
      <w:r/>
    </w:p>
    <w:p>
      <w:r/>
      <w:r>
        <w:t>After recent gas price shocks and geopolitical supply worries, governments are pairing industrial strategy with climate policy. The UK has accelerated measures to reduce exposure to volatile gas markets, and across the EU the focus is on keeping power available and affordable while decarbonising. That combination changes procurement and CapEx choices: firms are prioritising electrification, resilience measures and domestic renewables. From a practical perspective, boards should be stress-testing energy scenarios and factoring in grid resilience when making investment calls, projects that deliver firm capacity and price stability will command a premium.</w:t>
      </w:r>
      <w:r/>
    </w:p>
    <w:p>
      <w:pPr>
        <w:pStyle w:val="Heading2"/>
      </w:pPr>
      <w:r>
        <w:t>Deals flowing where outcomes are measurable</w:t>
      </w:r>
      <w:r/>
    </w:p>
    <w:p>
      <w:r/>
      <w:r>
        <w:t>The market signal is clear: investors want measurable results. Major deal flow is concentrating in long-duration storage, offshore wind, sustainable aviation fuel and climate finance for emerging markets, where performance can be modelled and monitored. Amazon’s expansion of carbon credit demand and use of AI tools for procurement shows corporates increasingly want traceable, high-integrity climate outcomes. If you’re chasing returns, look for assets with robust monitoring, reporting and verification frameworks; that transparency shortens due diligence and helps sustain valuations.</w:t>
      </w:r>
      <w:r/>
    </w:p>
    <w:p>
      <w:pPr>
        <w:pStyle w:val="Heading2"/>
      </w:pPr>
      <w:r>
        <w:t>Tech and reporting: AI, transparency and the next wave of tools</w:t>
      </w:r>
      <w:r/>
    </w:p>
    <w:p>
      <w:r/>
      <w:r>
        <w:t>AI-driven analytics are becoming a staple in ESG work, automating emissions inventories, scanning supply chains and optimising grid planning. KPMG and IFRS materials suggest the interplay of improved data and new disclosure standards will raise the bar on comparability. That’s good news for active managers and stewardship teams, because better data reduces reliance on assumptions. Practically, companies should invest in digital systems that can feed both operational control and regulatory reporting, this dual function reduces duplication and keeps costs down as compliance demands increase.</w:t>
      </w:r>
      <w:r/>
    </w:p>
    <w:p>
      <w:pPr>
        <w:pStyle w:val="Heading2"/>
      </w:pPr>
      <w:r>
        <w:t>What to do next: practical moves for investors and corporates</w:t>
      </w:r>
      <w:r/>
    </w:p>
    <w:p>
      <w:r/>
      <w:r>
        <w:t>Start with a gap analysis: match your exposures to the emerging nature and energy disclosure expectations and identify the data you’ll need. Prioritise investments in resilience, storage, grid reinforcement and diversified off-takers, since policy is favouring those assets. For reporting, align with IFRS/ISSB guidance where possible and pilot biodiversity metrics, focusing on material supply-chain hotspots. And don’t underestimate the value of good storytelling: investors want measurable outcomes, but they also want to understand the assumptions behind those numbers.</w:t>
      </w:r>
      <w:r/>
    </w:p>
    <w:p>
      <w:r/>
      <w:r>
        <w:t>It's a small change that can make outcomes safer and capital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3">
        <w:r>
          <w:rPr>
            <w:color w:val="0000EE"/>
            <w:u w:val="single"/>
          </w:rPr>
          <w:t>[6]</w:t>
        </w:r>
      </w:hyperlink>
      <w:r>
        <w:t xml:space="preserve">, </w:t>
      </w:r>
      <w:hyperlink r:id="rId15">
        <w:r>
          <w:rPr>
            <w:color w:val="0000EE"/>
            <w:u w:val="single"/>
          </w:rPr>
          <w:t>[4]</w:t>
        </w:r>
      </w:hyperlink>
      <w:r>
        <w:t xml:space="preserve">- Paragraph 6: </w:t>
      </w:r>
      <w:hyperlink r:id="rId14">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https://esgnews.com/esg-news-week-in-review-19-april-26-april/?utm_source=rss&amp;utm_medium=rss&amp;utm_campaign=esg-news-week-in-review-19-april-26-april</w:t>
        </w:r>
      </w:hyperlink>
      <w:r>
        <w:t xml:space="preserve"> - Please view link - unable to able to access data</w:t>
      </w:r>
      <w:r/>
    </w:p>
    <w:p>
      <w:pPr>
        <w:pStyle w:val="ListNumber"/>
        <w:spacing w:line="240" w:lineRule="auto"/>
        <w:ind w:left="720"/>
      </w:pPr>
      <w:r/>
      <w:hyperlink r:id="rId10">
        <w:r>
          <w:rPr>
            <w:color w:val="0000EE"/>
            <w:u w:val="single"/>
          </w:rPr>
          <w:t>https://esgnews.com/eu-targets-energy-security-with-711-billion-clean-investment-push/</w:t>
        </w:r>
      </w:hyperlink>
      <w:r>
        <w:t xml:space="preserve"> - The European Commission has unveiled AccelerateEU, a policy package designed to protect households and industry from volatile fossil fuel markets while fast-tracking the shift to domestic clean energy. The plan targets approximately €660 billion ($711 billion) in annual investment through 2030 to support clean energy infrastructure, electrification, efficiency upgrades, and reduced fossil fuel dependence. Key priorities include expanding solar, wind, batteries, EV charging infrastructure, and sustainable aviation and maritime fuels, while also strengthening critical energy systems across member states. The package also includes immediate relief measures such as allowing governments to reduce electricity taxes, ensuring electricity is taxed less than gas, and coordinating gas storage refills ahead of summer. These short-term actions aim to reduce consumer energy bills and protect vulnerable households and industries from further price shocks while avoiding more aggressive market interventions like price caps or windfall taxes. Officials said the long-term objective is to permanently reduce Europe’s exposure to imported fossil fuels by scaling up homegrown renewable and low-carbon energy. By combining emergency affordability measures with structural reforms, the EU aims to improve resilience, strengthen industrial competitiveness, and reinforce its broader climate and sustainability goals while preventing future energy crises.</w:t>
      </w:r>
      <w:r/>
    </w:p>
    <w:p>
      <w:pPr>
        <w:pStyle w:val="ListNumber"/>
        <w:spacing w:line="240" w:lineRule="auto"/>
        <w:ind w:left="720"/>
      </w:pPr>
      <w:r/>
      <w:hyperlink r:id="rId11">
        <w:r>
          <w:rPr>
            <w:color w:val="0000EE"/>
            <w:u w:val="single"/>
          </w:rPr>
          <w:t>https://www.ifrs.org/news-and-events/news/2026/05/issb-agrees-proposed-way-forward-for-nature-related-disclosures/</w:t>
        </w:r>
      </w:hyperlink>
      <w:r>
        <w:t xml:space="preserve"> - The International Sustainability Standards Board (ISSB) has agreed to propose requirements for nature-related disclosures in the form of an IFRS Practice Statement. This Practice Statement would complement existing standards, IFRS S1 and IFRS S2, without changing their requirements. The decision follows the ISSB’s work to specify aspects about material information on nature-related risks and opportunities for companies to disclose, drawing on the Taskforce on Nature-related Financial Disclosures (TNFD) framework. The ISSB aims to publish an exposure draft for public comment in October 2026, giving stakeholders the opportunity to provide feedback on the proposed requirements, including on whether an IFRS Practice Statement is the right form of standard-setting for nature-related disclosures.</w:t>
      </w:r>
      <w:r/>
    </w:p>
    <w:p>
      <w:pPr>
        <w:pStyle w:val="ListNumber"/>
        <w:spacing w:line="240" w:lineRule="auto"/>
        <w:ind w:left="720"/>
      </w:pPr>
      <w:r/>
      <w:hyperlink r:id="rId15">
        <w:r>
          <w:rPr>
            <w:color w:val="0000EE"/>
            <w:u w:val="single"/>
          </w:rPr>
          <w:t>https://www.ifrs.org/news-and-events/updates/issb/2026/issb-update-march-2026/</w:t>
        </w:r>
      </w:hyperlink>
      <w:r>
        <w:t xml:space="preserve"> - This ISSB Update highlights preliminary decisions of the International Sustainability Standards Board (ISSB). Projects affected by these decisions can be found in the work plan. The ISSB's final decisions on IFRS® Sustainability Disclosure Standards are formally balloted as set out in the IFRS Foundation's Due Process Handbook. The ISSB met on 25–26 March 2026. Related Information: ISSB Update archive, Podcast summaries. Contents: Research and standard-setting, Nature-related Disclosures (Agenda Paper 3), Enhancing the SASB Standards (Agenda Paper 6).</w:t>
      </w:r>
      <w:r/>
    </w:p>
    <w:p>
      <w:pPr>
        <w:pStyle w:val="ListNumber"/>
        <w:spacing w:line="240" w:lineRule="auto"/>
        <w:ind w:left="720"/>
      </w:pPr>
      <w:r/>
      <w:hyperlink r:id="rId14">
        <w:r>
          <w:rPr>
            <w:color w:val="0000EE"/>
            <w:u w:val="single"/>
          </w:rPr>
          <w:t>https://www.ifrs.org/sustainability/knowledge-hub/introduction-to-issb-and-ifrs-sustainability-disclosure-standards/</w:t>
        </w:r>
      </w:hyperlink>
      <w:r>
        <w:t xml:space="preserve"> - ISSB Standards specify information that has been identified as being decision useful to investors. Once a company has identified the sustainability-related risks and opportunities that could reasonably be expected to affect its prospects, preparers will use ISSB Standards to disclose material information related to those sustainability-related risks and opportunities. IFRS S1: prescribes how a company prepares and reports its sustainability-related financial disclosures. It sets out general requirements for the content and presentation of those disclosures, so that the information disclosed is useful to primary users. IFRS S2: sets out supplementary requirements that relate specifically to climate-related risks and opportunities. If a company decides that a climate-related risk or opportunity could reasonably be expected to affect its prospects, the company is required to apply IFRS S2 in preparing its climate-related disclosures.</w:t>
      </w:r>
      <w:r/>
    </w:p>
    <w:p>
      <w:pPr>
        <w:pStyle w:val="ListNumber"/>
        <w:spacing w:line="240" w:lineRule="auto"/>
        <w:ind w:left="720"/>
      </w:pPr>
      <w:r/>
      <w:hyperlink r:id="rId13">
        <w:r>
          <w:rPr>
            <w:color w:val="0000EE"/>
            <w:u w:val="single"/>
          </w:rPr>
          <w:t>https://kpmg.com/xx/en/our-insights/ifrg/2026/issb-nature-reporting.html</w:t>
        </w:r>
      </w:hyperlink>
      <w:r>
        <w:t xml:space="preserve"> - Companies can expect further clarity on how to report on a broad spectrum of nature-related topics under IFRS® Sustainability Disclosure Standards. In March 2026, the International Sustainability Standards Board (ISSB) decided to enhance IFRS S1 General Requirements for Disclosure of Sustainability-related Financial Information by adding incremental guidance on nature-related transition plans and targets, and by referring to SASB and other established standards for metrics. Barbara Zonneveld, Sustainability Reporting Director at KPMG International, stated, "IFRS S1 already requires reporting on all material sustainability-related risks and opportunities, yet the growing investor focus on nature-related topics warrants more targeted guidance."</w:t>
      </w:r>
      <w:r/>
    </w:p>
    <w:p>
      <w:pPr>
        <w:pStyle w:val="ListNumber"/>
        <w:spacing w:line="240" w:lineRule="auto"/>
        <w:ind w:left="720"/>
      </w:pPr>
      <w:r/>
      <w:hyperlink r:id="rId12">
        <w:r>
          <w:rPr>
            <w:color w:val="0000EE"/>
            <w:u w:val="single"/>
          </w:rPr>
          <w:t>https://www.ifrs.org/projects/work-plan/biodiversity-ecosystems-and-ecosystem-services/</w:t>
        </w:r>
      </w:hyperlink>
      <w:r>
        <w:t xml:space="preserve"> - The International Sustainability Standards Board (ISSB) decided to move the Nature-related Disclosures project from research to standard-setting in its work plan. The standard-setting phase of the project will involve developing disclosure requirements to respond to the needs of investors for information on nature-related risks and opportunities. These requirements will supplement the requirements in IFRS S1 General Requirements for Disclosure of Sustainability-related Financial Information and IFRS S2 Climate-related Disclosures, to be applied to nature-related risks and opportunities. ISSB Update March 2026. The ISSB met on 26 March 2026 to discuss: nature-related metrics; information on nature-related transition; illustrative drafting of incremental requirements and guidance on strategy and decision-making; and information on nature-related targets and consideration of international agreements and related jurisdictional commitments.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sgnews.com/esg-news-week-in-review-19-april-26-april/?utm_source=rss&amp;utm_medium=rss&amp;utm_campaign=esg-news-week-in-review-19-april-26-april" TargetMode="External"/><Relationship Id="rId10" Type="http://schemas.openxmlformats.org/officeDocument/2006/relationships/hyperlink" Target="https://esgnews.com/eu-targets-energy-security-with-711-billion-clean-investment-push/" TargetMode="External"/><Relationship Id="rId11" Type="http://schemas.openxmlformats.org/officeDocument/2006/relationships/hyperlink" Target="https://www.ifrs.org/news-and-events/news/2026/05/issb-agrees-proposed-way-forward-for-nature-related-disclosures/" TargetMode="External"/><Relationship Id="rId12" Type="http://schemas.openxmlformats.org/officeDocument/2006/relationships/hyperlink" Target="https://www.ifrs.org/projects/work-plan/biodiversity-ecosystems-and-ecosystem-services/" TargetMode="External"/><Relationship Id="rId13" Type="http://schemas.openxmlformats.org/officeDocument/2006/relationships/hyperlink" Target="https://kpmg.com/xx/en/our-insights/ifrg/2026/issb-nature-reporting.html" TargetMode="External"/><Relationship Id="rId14" Type="http://schemas.openxmlformats.org/officeDocument/2006/relationships/hyperlink" Target="https://www.ifrs.org/sustainability/knowledge-hub/introduction-to-issb-and-ifrs-sustainability-disclosure-standards/" TargetMode="External"/><Relationship Id="rId15" Type="http://schemas.openxmlformats.org/officeDocument/2006/relationships/hyperlink" Target="https://www.ifrs.org/news-and-events/updates/issb/2026/issb-update-march-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