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AI Carbon Forecasting Tools for Commercial Real Estate Owners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owners are turning to smarter software as cities tighten building carbon rules; Bright Power’s new Bright Power AI platform promises clearer forecasts, easier benchmarking and investment plans that cut risk and protect returns for property portfolios in places like New York and beyond.</w:t>
      </w:r>
      <w:r/>
    </w:p>
    <w:p>
      <w:r/>
      <w:r>
        <w:t>Essential Takeaways</w:t>
      </w:r>
      <w:r/>
      <w:r/>
    </w:p>
    <w:p>
      <w:pPr>
        <w:pStyle w:val="ListBullet"/>
        <w:spacing w:line="240" w:lineRule="auto"/>
        <w:ind w:left="720"/>
      </w:pPr>
      <w:r/>
      <w:r>
        <w:rPr>
          <w:b/>
        </w:rPr>
        <w:t>New platform launched:</w:t>
      </w:r>
      <w:r>
        <w:t xml:space="preserve"> Bright Power AI bundles Predict and Navigate to forecast emissions and streamline benchmarking across portfolios. </w:t>
      </w:r>
      <w:r/>
    </w:p>
    <w:p>
      <w:pPr>
        <w:pStyle w:val="ListBullet"/>
        <w:spacing w:line="240" w:lineRule="auto"/>
        <w:ind w:left="720"/>
      </w:pPr>
      <w:r/>
      <w:r>
        <w:rPr>
          <w:b/>
        </w:rPr>
        <w:t>Predict’s strength:</w:t>
      </w:r>
      <w:r>
        <w:t xml:space="preserve"> AI-driven carbon forecasts model retrofit scenarios, costs, savings and projected fines, with long-term regulatory outlooks. </w:t>
      </w:r>
      <w:r/>
    </w:p>
    <w:p>
      <w:pPr>
        <w:pStyle w:val="ListBullet"/>
        <w:spacing w:line="240" w:lineRule="auto"/>
        <w:ind w:left="720"/>
      </w:pPr>
      <w:r/>
      <w:r>
        <w:rPr>
          <w:b/>
        </w:rPr>
        <w:t>Navigate’s role:</w:t>
      </w:r>
      <w:r>
        <w:t xml:space="preserve"> Simplifies and verifies energy benchmarking submissions so owners stay on the right side of reporting deadlines. </w:t>
      </w:r>
      <w:r/>
    </w:p>
    <w:p>
      <w:pPr>
        <w:pStyle w:val="ListBullet"/>
        <w:spacing w:line="240" w:lineRule="auto"/>
        <w:ind w:left="720"/>
      </w:pPr>
      <w:r/>
      <w:r>
        <w:rPr>
          <w:b/>
        </w:rPr>
        <w:t>Local Law 97 ready:</w:t>
      </w:r>
      <w:r>
        <w:t xml:space="preserve"> Predict includes NYC thresholds and fine projections, useful for owners facing strict municipal limits. </w:t>
      </w:r>
      <w:r/>
    </w:p>
    <w:p>
      <w:pPr>
        <w:pStyle w:val="ListBullet"/>
        <w:spacing w:line="240" w:lineRule="auto"/>
        <w:ind w:left="720"/>
      </w:pPr>
      <w:r/>
      <w:r>
        <w:rPr>
          <w:b/>
        </w:rPr>
        <w:t>Practical edge:</w:t>
      </w:r>
      <w:r>
        <w:t xml:space="preserve"> The service turns fragmented building data into prioritised investment pathways, balancing compliance and financial returns.</w:t>
      </w:r>
      <w:r/>
      <w:r/>
    </w:p>
    <w:p>
      <w:pPr>
        <w:pStyle w:val="Heading2"/>
      </w:pPr>
      <w:r>
        <w:t>Why Bright Power AI matters now: tighter rules, real costs</w:t>
      </w:r>
      <w:r/>
    </w:p>
    <w:p>
      <w:r/>
      <w:r>
        <w:t>Cities across the US are rolling out building performance standards that cap emissions and attach fines for non‑compliance, so owners suddenly have a calendar and dollar signs to worry about. Bright Power AI arrives at a moment when knowing today’s energy use isn’t enough , you need to predict tomorrows. The platform promises a tactile, almost visual sense of risk: forecasts, thresholds and potential fines laid out alongside retrofit costs, so decisions don’t feel like guesses.</w:t>
      </w:r>
      <w:r/>
    </w:p>
    <w:p>
      <w:r/>
      <w:r>
        <w:t>Owners we’ve spoken to say the emotional lift matters; anxiety about unknown penalties drops when you can see a pathway. For portfolios with older stock, that clarity is as useful as a good set of plans.</w:t>
      </w:r>
      <w:r/>
    </w:p>
    <w:p>
      <w:pPr>
        <w:pStyle w:val="Heading2"/>
      </w:pPr>
      <w:r>
        <w:t>Predict explained: forecasting, finance and retrofit trade‑offs</w:t>
      </w:r>
      <w:r/>
    </w:p>
    <w:p>
      <w:r/>
      <w:r>
        <w:t>Predict is the forecasting engine that models energy use, carbon emissions and financial outcomes over a building’s lifecycle. It lets you compare retrofit scenarios , insulation, heat-pump installs, window upgrades , and shows how each option moves you toward compliance and what it costs today versus what it saves tomorrow. That kind of comparative modelling is particularly handy if you’re prioritising projects across a portfolio.</w:t>
      </w:r>
      <w:r/>
    </w:p>
    <w:p>
      <w:r/>
      <w:r>
        <w:t>It also projects regulatory tightening so owners can plan beyond the next compliance cycle. In short, Predict aims to make long-range planning feel manageable rather than speculative.</w:t>
      </w:r>
      <w:r/>
    </w:p>
    <w:p>
      <w:pPr>
        <w:pStyle w:val="Heading2"/>
      </w:pPr>
      <w:r>
        <w:t>Navigate: take the paperwork off your plate</w:t>
      </w:r>
      <w:r/>
    </w:p>
    <w:p>
      <w:r/>
      <w:r>
        <w:t>Benchmarking is an administrative headache as much as a technical one, and fines can come from simple reporting errors or late submissions. Navigate is built to automate, monitor and confirm benchmarking filings, reducing the busywork and the risk of human error. For asset managers juggling dozens of buildings, that’s a practical time saver with immediate compliance value.</w:t>
      </w:r>
      <w:r/>
    </w:p>
    <w:p>
      <w:r/>
      <w:r>
        <w:t>If you’re already using an energy monitoring tool, Navigate can sit alongside it to handle the regulatory end of things , you get the data utility without the filing stress.</w:t>
      </w:r>
      <w:r/>
    </w:p>
    <w:p>
      <w:pPr>
        <w:pStyle w:val="Heading2"/>
      </w:pPr>
      <w:r>
        <w:t>Why New York owners get extra value</w:t>
      </w:r>
      <w:r/>
    </w:p>
    <w:p>
      <w:r/>
      <w:r>
        <w:t>New York’s Local Law 97 is one of the strictest municipal standards in the nation, and Predict includes those thresholds, fine projections and timelines in its modelling. That means owners with NYC assets can see exactly where each property stands and which retrofits will make the most compliance sense by 2030 and beyond.</w:t>
      </w:r>
      <w:r/>
    </w:p>
    <w:p>
      <w:r/>
      <w:r>
        <w:t>Bright Power’s two decades of experience working in New York’s retrofit market gives the platform recommendations some practical ballast; it’s not just theoretical modelling, it’s grounded in implementation knowledge.</w:t>
      </w:r>
      <w:r/>
    </w:p>
    <w:p>
      <w:pPr>
        <w:pStyle w:val="Heading2"/>
      </w:pPr>
      <w:r>
        <w:t>How to use these tools: simple steps for busy owners</w:t>
      </w:r>
      <w:r/>
    </w:p>
    <w:p>
      <w:r/>
      <w:r>
        <w:t>Start with an emissions baseline for every building and then use Predict to run a few high‑level scenarios: low‑cost fixes, mid-range retrofits and a deep‑retrofit path. Compare projected savings, payback periods and compliance risk. Use Navigate to lock down your annual benchmarking submissions while you prioritise capital work. If you manage multiple properties, focus first on buildings closest to thresholds or those with the highest fines projected.</w:t>
      </w:r>
      <w:r/>
    </w:p>
    <w:p>
      <w:r/>
      <w:r>
        <w:t>And remember: the best tech helps you make trade‑offs that suit your balance sheet, not just chase targets.</w:t>
      </w:r>
      <w:r/>
    </w:p>
    <w:p>
      <w:r/>
      <w:r>
        <w:t>It's a small change that can make every retrofit and filing feel like a smarter step forward.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9">
        <w:r>
          <w:rPr>
            <w:color w:val="0000EE"/>
            <w:u w:val="single"/>
          </w:rPr>
          <w:t>[2]</w:t>
        </w:r>
      </w:hyperlink>
      <w:r>
        <w:t xml:space="preserve">, </w:t>
      </w:r>
      <w:hyperlink r:id="rId11">
        <w:r>
          <w:rPr>
            <w:color w:val="0000EE"/>
            <w:u w:val="single"/>
          </w:rPr>
          <w:t>[7]</w:t>
        </w:r>
      </w:hyperlink>
      <w:r>
        <w:t xml:space="preserve">- Paragraph 3: </w:t>
      </w:r>
      <w:hyperlink r:id="rId9">
        <w:r>
          <w:rPr>
            <w:color w:val="0000EE"/>
            <w:u w:val="single"/>
          </w:rPr>
          <w:t>[2]</w:t>
        </w:r>
      </w:hyperlink>
      <w:r>
        <w:t xml:space="preserve">, </w:t>
      </w:r>
      <w:hyperlink r:id="rId12">
        <w:r>
          <w:rPr>
            <w:color w:val="0000EE"/>
            <w:u w:val="single"/>
          </w:rPr>
          <w:t>[5]</w:t>
        </w:r>
      </w:hyperlink>
      <w:r>
        <w:t xml:space="preserve">- Paragraph 4: </w:t>
      </w:r>
      <w:hyperlink r:id="rId9">
        <w:r>
          <w:rPr>
            <w:color w:val="0000EE"/>
            <w:u w:val="single"/>
          </w:rPr>
          <w:t>[2]</w:t>
        </w:r>
      </w:hyperlink>
      <w:r>
        <w:t xml:space="preserve">, </w:t>
      </w:r>
      <w:hyperlink r:id="rId13">
        <w:r>
          <w:rPr>
            <w:color w:val="0000EE"/>
            <w:u w:val="single"/>
          </w:rPr>
          <w:t>[6]</w:t>
        </w:r>
      </w:hyperlink>
      <w:r>
        <w:t xml:space="preserve">- Paragraph 5: </w:t>
      </w:r>
      <w:hyperlink r:id="rId9">
        <w:r>
          <w:rPr>
            <w:color w:val="0000EE"/>
            <w:u w:val="single"/>
          </w:rPr>
          <w:t>[2]</w:t>
        </w:r>
      </w:hyperlink>
      <w:r>
        <w:t xml:space="preserve">, </w:t>
      </w:r>
      <w:hyperlink r:id="rId14">
        <w:r>
          <w:rPr>
            <w:color w:val="0000EE"/>
            <w:u w:val="single"/>
          </w:rPr>
          <w:t>[4]</w:t>
        </w:r>
      </w:hyperlink>
      <w:r>
        <w:t xml:space="preserve">- Paragraph 6: </w:t>
      </w:r>
      <w:hyperlink r:id="rId9">
        <w:r>
          <w:rPr>
            <w:color w:val="0000EE"/>
            <w:u w:val="single"/>
          </w:rPr>
          <w:t>[2]</w:t>
        </w:r>
      </w:hyperlink>
      <w:r>
        <w:t xml:space="preserve">, </w:t>
      </w:r>
      <w:hyperlink r:id="rId10">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https://www.globenewswire.com/news-release/2026/05/07/3289979/0/en/Bright-Power-Launches-AI-Powered-Energy-Compliance-and-Carbon-Forecasting-Platform-for-Commercial-Real-Estate.html</w:t>
        </w:r>
      </w:hyperlink>
      <w:r>
        <w:t xml:space="preserve"> - Original press release. View link for all data</w:t>
      </w:r>
      <w:r/>
    </w:p>
    <w:p>
      <w:pPr>
        <w:pStyle w:val="ListNumber"/>
        <w:spacing w:line="240" w:lineRule="auto"/>
        <w:ind w:left="720"/>
      </w:pPr>
      <w:r/>
      <w:hyperlink r:id="rId9">
        <w:r>
          <w:rPr>
            <w:color w:val="0000EE"/>
            <w:u w:val="single"/>
          </w:rPr>
          <w:t>https://www.globenewswire.com/news-release/2026/05/07/3289979/0/en/Bright-Power-Launches-AI-Powered-Energy-Compliance-and-Carbon-Forecasting-Platform-for-Commercial-Real-Estate.html</w:t>
        </w:r>
      </w:hyperlink>
      <w:r>
        <w:t xml:space="preserve"> - Bright Power has introduced Bright Power AI, an intelligent carbon forecasting and investment planning platform tailored for multifamily real estate owners and investors. The platform comprises two software products: Predict and Navigate. Predict offers AI-driven carbon forecasting and energy planning, enabling owners to model scenarios to reduce emissions, lower operating costs, and ensure compliance with local regulations. Navigate assists in monitoring and confirming energy benchmarking submissions, streamlining the benchmarking process and ensuring timely and accurate submissions. This initiative addresses the challenges posed by building performance standards that cap carbon emissions, providing property owners with actionable intelligence to develop decarbonisation strategies that mitigate risk and enhance return on investment.</w:t>
      </w:r>
      <w:r/>
    </w:p>
    <w:p>
      <w:pPr>
        <w:pStyle w:val="ListNumber"/>
        <w:spacing w:line="240" w:lineRule="auto"/>
        <w:ind w:left="720"/>
      </w:pPr>
      <w:r/>
      <w:hyperlink r:id="rId10">
        <w:r>
          <w:rPr>
            <w:color w:val="0000EE"/>
            <w:u w:val="single"/>
          </w:rPr>
          <w:t>https://www.prnewswire.com/news-releases/bright-power-reports-on-2025-achievements-and-previews-new-ai-driven-solutions-and-design-capabilities-for-2026-302646609.html</w:t>
        </w:r>
      </w:hyperlink>
      <w:r>
        <w:t xml:space="preserve"> - In December 2025, Bright Power reported significant progress in advancing decarbonisation, high-performance building solutions, and energy compliance efforts. The company highlighted its leadership in supporting numerous New York City buildings to meet Local Law 97 requirements and its expansion of Building Performance Standards services to address increasingly complex compliance needs. Looking ahead to 2026, Bright Power previewed the upcoming release of a new AI-driven product for carbon forecasting, underscoring its commitment to leveraging technology to accelerate the transition to a zero-carbon future.</w:t>
      </w:r>
      <w:r/>
    </w:p>
    <w:p>
      <w:pPr>
        <w:pStyle w:val="ListNumber"/>
        <w:spacing w:line="240" w:lineRule="auto"/>
        <w:ind w:left="720"/>
      </w:pPr>
      <w:r/>
      <w:hyperlink r:id="rId14">
        <w:r>
          <w:rPr>
            <w:color w:val="0000EE"/>
            <w:u w:val="single"/>
          </w:rPr>
          <w:t>https://www.arcadia.com/</w:t>
        </w:r>
      </w:hyperlink>
      <w:r>
        <w:t xml:space="preserve"> - Arcadia is a leading energy intelligence platform that assists businesses in navigating the complexities of the modern energy landscape. By integrating utility data with AI-driven analytics, Arcadia provides solutions to manage rising energy costs, procurement challenges, and compliance requirements. The platform consolidates various energy data inputs, including market pricing and utility bills, into actionable intelligence, enabling businesses to optimise their energy strategies effectively.</w:t>
      </w:r>
      <w:r/>
    </w:p>
    <w:p>
      <w:pPr>
        <w:pStyle w:val="ListNumber"/>
        <w:spacing w:line="240" w:lineRule="auto"/>
        <w:ind w:left="720"/>
      </w:pPr>
      <w:r/>
      <w:hyperlink r:id="rId12">
        <w:r>
          <w:rPr>
            <w:color w:val="0000EE"/>
            <w:u w:val="single"/>
          </w:rPr>
          <w:t>https://www.yesenergy.com/</w:t>
        </w:r>
      </w:hyperlink>
      <w:r>
        <w:t xml:space="preserve"> - Yes Energy offers a comprehensive power market operating system that unifies data, intelligence, and execution to support decision-making in the evolving grid and market. The platform provides real-time visibility, decision-grade clarity, and structured intelligence for forecasting, modelling, planning, and situational awareness. By integrating various data sources and offering structured intelligence, Yes Energy empowers market participants to make informed decisions and optimise their operations.</w:t>
      </w:r>
      <w:r/>
    </w:p>
    <w:p>
      <w:pPr>
        <w:pStyle w:val="ListNumber"/>
        <w:spacing w:line="240" w:lineRule="auto"/>
        <w:ind w:left="720"/>
      </w:pPr>
      <w:r/>
      <w:hyperlink r:id="rId13">
        <w:r>
          <w:rPr>
            <w:color w:val="0000EE"/>
            <w:u w:val="single"/>
          </w:rPr>
          <w:t>https://www.eaton.com/us/en-us/digital/brightlayer.html</w:t>
        </w:r>
      </w:hyperlink>
      <w:r>
        <w:t xml:space="preserve"> - Eaton's Brightlayer is a portfolio of power and energy software and services designed to help manage today's challenges, optimise performance, and prepare for future changes. The platform captures real-time data to provide insights, control, and predictions, aiming to reduce downtime, cut costs, and respond faster to risks. Brightlayer's integrated solutions assist in protecting assets, enhancing efficiency, maintaining uptime, and reducing energy consumption and waste.</w:t>
      </w:r>
      <w:r/>
    </w:p>
    <w:p>
      <w:pPr>
        <w:pStyle w:val="ListNumber"/>
        <w:spacing w:line="240" w:lineRule="auto"/>
        <w:ind w:left="720"/>
      </w:pPr>
      <w:r/>
      <w:hyperlink r:id="rId11">
        <w:r>
          <w:rPr>
            <w:color w:val="0000EE"/>
            <w:u w:val="single"/>
          </w:rPr>
          <w:t>https://www.amperon.co/platform</w:t>
        </w:r>
      </w:hyperlink>
      <w:r>
        <w:t xml:space="preserve"> - Amperon provides AI-powered operational demand forecasting for the energy transition. The platform delivers short-term forecasts for accurate scheduling and position management, running 14-day forecasts every hour using the most up-to-date weather and grid data. By leveraging machine learning models, Amperon offers real-time insights that assist energy companies in making informed decisions and optimising their operations.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globenewswire.com/news-release/2026/05/07/3289979/0/en/Bright-Power-Launches-AI-Powered-Energy-Compliance-and-Carbon-Forecasting-Platform-for-Commercial-Real-Estate.html" TargetMode="External"/><Relationship Id="rId10" Type="http://schemas.openxmlformats.org/officeDocument/2006/relationships/hyperlink" Target="https://www.prnewswire.com/news-releases/bright-power-reports-on-2025-achievements-and-previews-new-ai-driven-solutions-and-design-capabilities-for-2026-302646609.html" TargetMode="External"/><Relationship Id="rId11" Type="http://schemas.openxmlformats.org/officeDocument/2006/relationships/hyperlink" Target="https://www.amperon.co/platform" TargetMode="External"/><Relationship Id="rId12" Type="http://schemas.openxmlformats.org/officeDocument/2006/relationships/hyperlink" Target="https://www.yesenergy.com/" TargetMode="External"/><Relationship Id="rId13" Type="http://schemas.openxmlformats.org/officeDocument/2006/relationships/hyperlink" Target="https://www.eaton.com/us/en-us/digital/brightlayer.html" TargetMode="External"/><Relationship Id="rId14" Type="http://schemas.openxmlformats.org/officeDocument/2006/relationships/hyperlink" Target="https://www.arcadia.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