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Battery Storage Deals in Germany: Why Tolling and Longer Durations Are Winning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eyeing Germany’s booming battery energy storage market as tolling contracts and longer-duration systems promise steadier returns; Akaysha Energy’s new joint venture and AUD 300m debt line show why structured deals are starting to unlock big-scale project finance across the market.</w:t>
      </w:r>
      <w:r/>
    </w:p>
    <w:p>
      <w:r/>
      <w:r>
        <w:t>Essential Takeaways</w:t>
      </w:r>
      <w:r/>
      <w:r/>
    </w:p>
    <w:p>
      <w:pPr>
        <w:pStyle w:val="ListBullet"/>
        <w:spacing w:line="240" w:lineRule="auto"/>
        <w:ind w:left="720"/>
      </w:pPr>
      <w:r/>
      <w:r>
        <w:rPr>
          <w:b/>
        </w:rPr>
        <w:t>Big finance is backing BESS:</w:t>
      </w:r>
      <w:r>
        <w:t xml:space="preserve"> Akaysha Energy’s AUD 300m ($217.8m) corporate debt facility underpins a push into German grid-scale storage, signalling lender appetite. </w:t>
      </w:r>
      <w:r/>
    </w:p>
    <w:p>
      <w:pPr>
        <w:pStyle w:val="ListBullet"/>
        <w:spacing w:line="240" w:lineRule="auto"/>
        <w:ind w:left="720"/>
      </w:pPr>
      <w:r/>
      <w:r>
        <w:rPr>
          <w:b/>
        </w:rPr>
        <w:t>Tolling and contracted capacity matter:</w:t>
      </w:r>
      <w:r>
        <w:t xml:space="preserve"> Developers are targeting 60–80% contracted capacity per project, reducing merchant risk while keeping upside. </w:t>
      </w:r>
      <w:r/>
    </w:p>
    <w:p>
      <w:pPr>
        <w:pStyle w:val="ListBullet"/>
        <w:spacing w:line="240" w:lineRule="auto"/>
        <w:ind w:left="720"/>
      </w:pPr>
      <w:r/>
      <w:r>
        <w:rPr>
          <w:b/>
        </w:rPr>
        <w:t>Longer-duration batteries gain ground:</w:t>
      </w:r>
      <w:r>
        <w:t xml:space="preserve"> Modelling and market conversations show multi-hour systems increasingly attractive for wholesale and toll revenues. </w:t>
      </w:r>
      <w:r/>
    </w:p>
    <w:p>
      <w:pPr>
        <w:pStyle w:val="ListBullet"/>
        <w:spacing w:line="240" w:lineRule="auto"/>
        <w:ind w:left="720"/>
      </w:pPr>
      <w:r/>
      <w:r>
        <w:rPr>
          <w:b/>
        </w:rPr>
        <w:t>Grid charges are the wild card:</w:t>
      </w:r>
      <w:r>
        <w:t xml:space="preserve"> Germany’s evolving grid-fee regime and connection terms will be decisive for projects coming online in 2029–30. </w:t>
      </w:r>
      <w:r/>
    </w:p>
    <w:p>
      <w:pPr>
        <w:pStyle w:val="ListBullet"/>
        <w:spacing w:line="240" w:lineRule="auto"/>
        <w:ind w:left="720"/>
      </w:pPr>
      <w:r/>
      <w:r>
        <w:rPr>
          <w:b/>
        </w:rPr>
        <w:t>Practical feel:</w:t>
      </w:r>
      <w:r>
        <w:t xml:space="preserve"> Expect sleek, industrial-scale sites with firm contracts; investors want predictability, operators want flexibility.</w:t>
      </w:r>
      <w:r/>
      <w:r/>
    </w:p>
    <w:p>
      <w:pPr>
        <w:pStyle w:val="Heading2"/>
      </w:pPr>
      <w:r>
        <w:t>Why Akaysha’s move matters for Germany’s storage market</w:t>
      </w:r>
      <w:r/>
    </w:p>
    <w:p>
      <w:r/>
      <w:r>
        <w:t>Akaysha Energy’s joint venture with Copenhagen Energy, backed by a sizable AUD 300 million corporate credit line, is a concrete signal that institutional capital sees Germany as a place to scale battery projects. The facility , arranged by a syndicate that includes major international banks , gives the venture real firepower to pursue large sites and demonstrate bankable structures. For observers, the deal feels less speculative and more like a market making moment: lenders are ready to underwrite BESS at scale.</w:t>
      </w:r>
      <w:r/>
    </w:p>
    <w:p>
      <w:r/>
      <w:r>
        <w:t>This isn’t just corporate pride. According to industry research, Germany’s merchant fundamentals are among the strongest in Europe, with particularly high day-ahead spreads and very liquid intraday markets. That liquidity makes it easier to stack revenue streams, even while developers choose conservative contracting to secure finance and manage downside.</w:t>
      </w:r>
      <w:r/>
    </w:p>
    <w:p>
      <w:pPr>
        <w:pStyle w:val="Heading2"/>
      </w:pPr>
      <w:r>
        <w:t>Tolling contracts: the finance-friendly glue</w:t>
      </w:r>
      <w:r/>
    </w:p>
    <w:p>
      <w:r/>
      <w:r>
        <w:t>Tolling agreements , where a customer pays to use storage services rather than buy the energy outright , are cropping up as the go-to product for projects seeking bank finance. Banks increasingly insist on toll or floor structures, and pure merchant exposure is being left to niche investors. That’s because tolling aligns contracted cashflows with lenders’ requirements while giving industrial or utility customers predictable flexibility.</w:t>
      </w:r>
      <w:r/>
    </w:p>
    <w:p>
      <w:r/>
      <w:r>
        <w:t>Akaysha’s management say their contracting playbook borrows heavily from Australia, using virtual tolls, revenue-sharing and capacity-swap style deals that start with the offtaker’s needs and build a financeable product around them. For developers, that means designing deals to satisfy both commercial users and prudential lenders , a pragmatic approach that can accelerate deployment.</w:t>
      </w:r>
      <w:r/>
    </w:p>
    <w:p>
      <w:pPr>
        <w:pStyle w:val="Heading2"/>
      </w:pPr>
      <w:r>
        <w:t>Longer-duration systems are climbing the priority list</w:t>
      </w:r>
      <w:r/>
    </w:p>
    <w:p>
      <w:r/>
      <w:r>
        <w:t>The market conversation has shifted: two-hour units used to dominate, but modelling and buyer interest now point to longer durations. Longer-duration batteries can capture a broader slice of wholesale and toll revenues, and they’re better placed to support grid stability over extended periods. That combination is reshaping project economics and the kinds of offtake structures under discussion.</w:t>
      </w:r>
      <w:r/>
    </w:p>
    <w:p>
      <w:r/>
      <w:r>
        <w:t>Industry analysts forecast a significant buildout , multiple gigawatts by 2030 , and they emphasise that revenue stacks are moving from ancillary services towards wholesale and toll-based income. In plain terms, that means systems that can discharge for longer are likely to earn steadier returns and attract more conventional finance.</w:t>
      </w:r>
      <w:r/>
    </w:p>
    <w:p>
      <w:pPr>
        <w:pStyle w:val="Heading2"/>
      </w:pPr>
      <w:r>
        <w:t>Grid access, dynamic charges and the 2029 cliff</w:t>
      </w:r>
      <w:r/>
    </w:p>
    <w:p>
      <w:r/>
      <w:r>
        <w:t>If there’s a sticking point, it’s grid fees and access arrangements. Germany’s current exemption from grid capacity charges for batteries ends for assets commissioned after 4 August 2029, and the replacement regime is not yet settled. That regulatory uncertainty could materially change project returns for plants aiming for 2029–30 completion.</w:t>
      </w:r>
      <w:r/>
    </w:p>
    <w:p>
      <w:r/>
      <w:r>
        <w:t>Developers are responding with flexibility: keeping project sequencing options open, modelling dynamic charge scenarios and negotiating flexible connection agreements under section 17(2b) of the EnWG where possible. The modelling work Akaysha commissioned suggests dynamic pricing could be neutral or slightly positive overall , provided capacity fees aren’t set too high. For project teams, the advice is straightforward: quantify potential grid costs early and bake them into your financials.</w:t>
      </w:r>
      <w:r/>
    </w:p>
    <w:p>
      <w:pPr>
        <w:pStyle w:val="Heading2"/>
      </w:pPr>
      <w:r>
        <w:t>What this means for buyers, investors and local planners</w:t>
      </w:r>
      <w:r/>
    </w:p>
    <w:p>
      <w:r/>
      <w:r>
        <w:t>For corporate offtakers and utilities, the rise of tolling and share-style contracts offers tailored flexibility without the capex of owning batteries outright. For banks and institutional investors, these structured products reduce revenue volatility and make project-level, non-recourse finance feasible. And for planners, the sheer volume of connection requests , reported to be many times peak load , means grid planning and permitting processes need to speed up or risk becoming the bottleneck.</w:t>
      </w:r>
      <w:r/>
    </w:p>
    <w:p>
      <w:r/>
      <w:r>
        <w:t>If you’re thinking of investing or procuring storage capacity, look for deals that balance contracted revenue with a sensible merchant slice, choose durations that match the revenue stack you need, and insist on transparent assumptions about grid charges and connection terms.</w:t>
      </w:r>
      <w:r/>
    </w:p>
    <w:p>
      <w:r/>
      <w:r>
        <w:t>It's a small change in contract design that can make every battery project much more investible.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https://www.pv-magazine.com/2026/05/07/longer-duration-bess-finds-footing-in-germanys-toll-market/</w:t>
        </w:r>
      </w:hyperlink>
      <w:r>
        <w:t xml:space="preserve"> - Please view link - unable to able to access data</w:t>
      </w:r>
      <w:r/>
    </w:p>
    <w:p>
      <w:pPr>
        <w:pStyle w:val="ListNumber"/>
        <w:spacing w:line="240" w:lineRule="auto"/>
        <w:ind w:left="720"/>
      </w:pPr>
      <w:r/>
      <w:hyperlink r:id="rId10">
        <w:r>
          <w:rPr>
            <w:color w:val="0000EE"/>
            <w:u w:val="single"/>
          </w:rPr>
          <w:t>https://akayshaenergy.com/news/akaysha-energy-secures-300-million-debt-facility</w:t>
        </w:r>
      </w:hyperlink>
      <w:r>
        <w:t xml:space="preserve"> - Akaysha Energy, a leader in large-scale battery energy storage systems (BESS), has secured a A$300 million corporate debt facility supported by a syndicate of global and domestic banks, including BNP Paribas, Deutsche Bank, ING, SMBC, and Westpac. This three-year multi-currency revolving loan and Letter of Credit facility is designed to fund the development and construction of Akaysha's extensive BESS project pipeline in Australia, the US, Japan, and Germany. The facility is the first borrowing base loan structure of its kind in the Australian renewables sector, offering flexibility to scale as Akaysha's portfolio grows. (</w:t>
      </w:r>
      <w:hyperlink r:id="rId15">
        <w:r>
          <w:rPr>
            <w:color w:val="0000EE"/>
            <w:u w:val="single"/>
          </w:rPr>
          <w:t>akayshaenergy.com</w:t>
        </w:r>
      </w:hyperlink>
      <w:r>
        <w:t>)</w:t>
      </w:r>
      <w:r/>
    </w:p>
    <w:p>
      <w:pPr>
        <w:pStyle w:val="ListNumber"/>
        <w:spacing w:line="240" w:lineRule="auto"/>
        <w:ind w:left="720"/>
      </w:pPr>
      <w:r/>
      <w:hyperlink r:id="rId11">
        <w:r>
          <w:rPr>
            <w:color w:val="0000EE"/>
            <w:u w:val="single"/>
          </w:rPr>
          <w:t>https://www.whitecase.com/news/press-release/white-case-advises-bank-syndicate-au300-million-corporate-debt-facility-akaysha</w:t>
        </w:r>
      </w:hyperlink>
      <w:r>
        <w:t xml:space="preserve"> - Global law firm White &amp; Case LLP has advised a syndicate of global and domestic banks, comprising BNP Paribas, Deutsche Bank, ING, SMBC, and Westpac, on a A$300 million corporate debt facility for Akaysha Energy. The three-year multi-currency revolving loan and Letter of Credit facility is a unique borrowing base loan structure in the Australian renewable energy sector, providing Akaysha Energy with the flexibility to advance its BESS project pipeline in Australia, Japan, the US, and Germany. The transaction reflects the growing sophistication of financing in the renewable energy sector. (</w:t>
      </w:r>
      <w:hyperlink r:id="rId16">
        <w:r>
          <w:rPr>
            <w:color w:val="0000EE"/>
            <w:u w:val="single"/>
          </w:rPr>
          <w:t>whitecase.com</w:t>
        </w:r>
      </w:hyperlink>
      <w:r>
        <w:t>)</w:t>
      </w:r>
      <w:r/>
    </w:p>
    <w:p>
      <w:pPr>
        <w:pStyle w:val="ListNumber"/>
        <w:spacing w:line="240" w:lineRule="auto"/>
        <w:ind w:left="720"/>
      </w:pPr>
      <w:r/>
      <w:hyperlink r:id="rId12">
        <w:r>
          <w:rPr>
            <w:color w:val="0000EE"/>
            <w:u w:val="single"/>
          </w:rPr>
          <w:t>https://modoenergy.com/research/en/de-germany-bess-batteries-buildout-capacity-growth-installation-grid-scale-february-2026</w:t>
        </w:r>
      </w:hyperlink>
      <w:r>
        <w:t xml:space="preserve"> - Germany added 842 MW of battery capacity in 2025, nearly doubling the deployment from 2024 and pushing the total grid-scale battery fleet to 2.4 GW by year-end. The pipeline shows 3.4 GW of projects scheduled in 2026, but actual delivery may fall short due to grid connection delays. Larger gigawatt-scale projects and growing interest in co-location opportunities can bolster battery storage growth in the coming years. The report highlights the rapid expansion of Germany's battery storage market and the challenges associated with grid integration. (</w:t>
      </w:r>
      <w:hyperlink r:id="rId17">
        <w:r>
          <w:rPr>
            <w:color w:val="0000EE"/>
            <w:u w:val="single"/>
          </w:rPr>
          <w:t>modoenergy.com</w:t>
        </w:r>
      </w:hyperlink>
      <w:r>
        <w:t>)</w:t>
      </w:r>
      <w:r/>
    </w:p>
    <w:p>
      <w:pPr>
        <w:pStyle w:val="ListNumber"/>
        <w:spacing w:line="240" w:lineRule="auto"/>
        <w:ind w:left="720"/>
      </w:pPr>
      <w:r/>
      <w:hyperlink r:id="rId14">
        <w:r>
          <w:rPr>
            <w:color w:val="0000EE"/>
            <w:u w:val="single"/>
          </w:rPr>
          <w:t>https://www.grandviewresearch.com/horizon/outlook/grid-scale-battery-storage-market/germany</w:t>
        </w:r>
      </w:hyperlink>
      <w:r>
        <w:t xml:space="preserve"> - The grid-scale battery storage market in Germany is expected to reach a projected revenue of US$2,154.6 million by 2030, growing at a compound annual growth rate (CAGR) of 27.5% from 2025 to 2030. In 2024, the market generated a revenue of USD 512.5 million, with lithium-based batteries being the largest revenue-generating type. The report indicates significant growth potential in Germany's grid-scale battery storage market, driven by increasing demand for energy storage solutions. (</w:t>
      </w:r>
      <w:hyperlink r:id="rId18">
        <w:r>
          <w:rPr>
            <w:color w:val="0000EE"/>
            <w:u w:val="single"/>
          </w:rPr>
          <w:t>grandviewresearch.com</w:t>
        </w:r>
      </w:hyperlink>
      <w:r>
        <w:t>)</w:t>
      </w:r>
      <w:r/>
    </w:p>
    <w:p>
      <w:pPr>
        <w:pStyle w:val="ListNumber"/>
        <w:spacing w:line="240" w:lineRule="auto"/>
        <w:ind w:left="720"/>
      </w:pPr>
      <w:r/>
      <w:hyperlink r:id="rId13">
        <w:r>
          <w:rPr>
            <w:color w:val="0000EE"/>
            <w:u w:val="single"/>
          </w:rPr>
          <w:t>https://modoenergy.com/research/en/germany-battery-investment-outlook-q2-2026-executive-summary</w:t>
        </w:r>
      </w:hyperlink>
      <w:r>
        <w:t xml:space="preserve"> - The executive summary of Modo Energy's Q2 2026 German BESS investment outlook highlights that 4-hour German BESS systems deliver a 13.7% unlevered internal rate of return (IRR) at 2026 commercial operation dates, outperforming 2-hour systems despite 34% higher capital expenditure. However, over 700 GW of battery storage sits in the grid queue against just 2.5 GW connected, and fundamental risks can compress returns to the point where projects no longer clear investor hurdle rates. The report provides insights into the investment landscape for battery energy storage systems in Germany. (</w:t>
      </w:r>
      <w:hyperlink r:id="rId19">
        <w:r>
          <w:rPr>
            <w:color w:val="0000EE"/>
            <w:u w:val="single"/>
          </w:rPr>
          <w:t>modoenergy.com</w:t>
        </w:r>
      </w:hyperlink>
      <w:r>
        <w:t>)</w:t>
      </w:r>
      <w:r/>
    </w:p>
    <w:p>
      <w:pPr>
        <w:pStyle w:val="ListNumber"/>
        <w:spacing w:line="240" w:lineRule="auto"/>
        <w:ind w:left="720"/>
      </w:pPr>
      <w:r/>
      <w:hyperlink r:id="rId20">
        <w:r>
          <w:rPr>
            <w:color w:val="0000EE"/>
            <w:u w:val="single"/>
          </w:rPr>
          <w:t>https://www.ashurst.com/en/who-we-are/our-news-work-market-recognition/ashurst-advises-akaysha-energy-on-market-first-aud-300-million-borrowing-base-facility/</w:t>
        </w:r>
      </w:hyperlink>
      <w:r>
        <w:t xml:space="preserve"> - Global law firm Ashurst has advised Akaysha Energy on securing a landmark A$300 million borrowing base corporate debt facility from a syndicate of global and domestic banks, including BNP Paribas, Deutsche Bank, ING, SMBC, and Westpac. This facility represents the first borrowing base loan structure of its kind in the Australian renewable energy sector, offering Akaysha Energy significant flexibility to scale the facility as its business grows. The three-year, multi-currency facility is strategically designed to support and accelerate the development and construction of Akaysha's global BESS project pipeline, spanning key markets such as Australia, the US, Japan, and Germany. (</w:t>
      </w:r>
      <w:hyperlink r:id="rId21">
        <w:r>
          <w:rPr>
            <w:color w:val="0000EE"/>
            <w:u w:val="single"/>
          </w:rPr>
          <w:t>ashurst.com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v-magazine.com/2026/05/07/longer-duration-bess-finds-footing-in-germanys-toll-market/" TargetMode="External"/><Relationship Id="rId10" Type="http://schemas.openxmlformats.org/officeDocument/2006/relationships/hyperlink" Target="https://akayshaenergy.com/news/akaysha-energy-secures-300-million-debt-facility" TargetMode="External"/><Relationship Id="rId11" Type="http://schemas.openxmlformats.org/officeDocument/2006/relationships/hyperlink" Target="https://www.whitecase.com/news/press-release/white-case-advises-bank-syndicate-au300-million-corporate-debt-facility-akaysha" TargetMode="External"/><Relationship Id="rId12" Type="http://schemas.openxmlformats.org/officeDocument/2006/relationships/hyperlink" Target="https://modoenergy.com/research/en/de-germany-bess-batteries-buildout-capacity-growth-installation-grid-scale-february-2026" TargetMode="External"/><Relationship Id="rId13" Type="http://schemas.openxmlformats.org/officeDocument/2006/relationships/hyperlink" Target="https://modoenergy.com/research/en/germany-battery-investment-outlook-q2-2026-executive-summary" TargetMode="External"/><Relationship Id="rId14" Type="http://schemas.openxmlformats.org/officeDocument/2006/relationships/hyperlink" Target="https://www.grandviewresearch.com/horizon/outlook/grid-scale-battery-storage-market/germany" TargetMode="External"/><Relationship Id="rId15" Type="http://schemas.openxmlformats.org/officeDocument/2006/relationships/hyperlink" Target="https://akayshaenergy.com/news/akaysha-energy-secures-300-million-debt-facility?utm_source=openai" TargetMode="External"/><Relationship Id="rId16" Type="http://schemas.openxmlformats.org/officeDocument/2006/relationships/hyperlink" Target="https://www.whitecase.com/news/press-release/white-case-advises-bank-syndicate-au300-million-corporate-debt-facility-akaysha?utm_source=openai" TargetMode="External"/><Relationship Id="rId17" Type="http://schemas.openxmlformats.org/officeDocument/2006/relationships/hyperlink" Target="https://modoenergy.com/research/en/de-germany-bess-batteries-buildout-capacity-growth-installation-grid-scale-february-2026?utm_source=openai" TargetMode="External"/><Relationship Id="rId18" Type="http://schemas.openxmlformats.org/officeDocument/2006/relationships/hyperlink" Target="https://www.grandviewresearch.com/horizon/outlook/grid-scale-battery-storage-market/germany?utm_source=openai" TargetMode="External"/><Relationship Id="rId19" Type="http://schemas.openxmlformats.org/officeDocument/2006/relationships/hyperlink" Target="https://modoenergy.com/research/en/germany-battery-investment-outlook-q2-2026-executive-summary?utm_source=openai" TargetMode="External"/><Relationship Id="rId20" Type="http://schemas.openxmlformats.org/officeDocument/2006/relationships/hyperlink" Target="https://www.ashurst.com/en/who-we-are/our-news-work-market-recognition/ashurst-advises-akaysha-energy-on-market-first-aud-300-million-borrowing-base-facility/" TargetMode="External"/><Relationship Id="rId21" Type="http://schemas.openxmlformats.org/officeDocument/2006/relationships/hyperlink" Target="https://www.ashurst.com/en/who-we-are/our-news-work-market-recognition/ashurst-advises-akaysha-energy-on-market-first-aud-300-million-borrowing-base-facil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