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Harbour Energy Update: Why the Company Raised Its 2026 Output Forecast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energy news are watching Harbour Energy closely after the company nudged up its 2026 production outlook following a stronger-than-expected first quarter; the move matters because fresh overseas deals and the Middle East conflict have reshaped where and how British oil firms grow.</w:t>
      </w:r>
      <w:r/>
    </w:p>
    <w:p>
      <w:r/>
      <w:r>
        <w:t>Essential Takeaways</w:t>
      </w:r>
      <w:r/>
      <w:r/>
    </w:p>
    <w:p>
      <w:pPr>
        <w:pStyle w:val="ListBullet"/>
        <w:spacing w:line="240" w:lineRule="auto"/>
        <w:ind w:left="720"/>
      </w:pPr>
      <w:r/>
      <w:r>
        <w:rPr>
          <w:b/>
        </w:rPr>
        <w:t>Upgraded outlook:</w:t>
      </w:r>
      <w:r>
        <w:t xml:space="preserve"> Harbour now expects 480,000–500,000 boepd in 2026, up from a previous 475,000–500,000 range.</w:t>
      </w:r>
      <w:r/>
    </w:p>
    <w:p>
      <w:pPr>
        <w:pStyle w:val="ListBullet"/>
        <w:spacing w:line="240" w:lineRule="auto"/>
        <w:ind w:left="720"/>
      </w:pPr>
      <w:r/>
      <w:r>
        <w:rPr>
          <w:b/>
        </w:rPr>
        <w:t>Deal-driven growth:</w:t>
      </w:r>
      <w:r>
        <w:t xml:space="preserve"> Recent acquisitions, including entry into the US Gulf of Mexico, helped lift near‑term volumes and diversify risk.</w:t>
      </w:r>
      <w:r/>
    </w:p>
    <w:p>
      <w:pPr>
        <w:pStyle w:val="ListBullet"/>
        <w:spacing w:line="240" w:lineRule="auto"/>
        <w:ind w:left="720"/>
      </w:pPr>
      <w:r/>
      <w:r>
        <w:rPr>
          <w:b/>
        </w:rPr>
        <w:t>Geographic spread:</w:t>
      </w:r>
      <w:r>
        <w:t xml:space="preserve"> The group has expanded beyond the UK into Norway, Argentina, Mexico and the US, reducing concentration in the North Sea.</w:t>
      </w:r>
      <w:r/>
    </w:p>
    <w:p>
      <w:pPr>
        <w:pStyle w:val="ListBullet"/>
        <w:spacing w:line="240" w:lineRule="auto"/>
        <w:ind w:left="720"/>
      </w:pPr>
      <w:r/>
      <w:r>
        <w:rPr>
          <w:b/>
        </w:rPr>
        <w:t>Market backdrop:</w:t>
      </w:r>
      <w:r>
        <w:t xml:space="preserve"> The Middle East war pushed oil prices higher and added supply uncertainty, making overseas assets more attractive.</w:t>
      </w:r>
      <w:r/>
    </w:p>
    <w:p>
      <w:pPr>
        <w:pStyle w:val="ListBullet"/>
        <w:spacing w:line="240" w:lineRule="auto"/>
        <w:ind w:left="720"/>
      </w:pPr>
      <w:r/>
      <w:r>
        <w:rPr>
          <w:b/>
        </w:rPr>
        <w:t>Operational sense:</w:t>
      </w:r>
      <w:r>
        <w:t xml:space="preserve"> First-quarter performance exceeded expectations, with trading updates pointing to steady production and manageable downtime.</w:t>
      </w:r>
      <w:r/>
      <w:r/>
    </w:p>
    <w:p>
      <w:pPr>
        <w:pStyle w:val="Heading2"/>
      </w:pPr>
      <w:r>
        <w:t>Strong first quarter , what actually changed</w:t>
      </w:r>
      <w:r/>
    </w:p>
    <w:p>
      <w:r/>
      <w:r>
        <w:t>Harbour’s upgrade is short and sharp: management shaved the bottom of its 2026 range up by 5,000 boepd. That might sound small, but in the oil business incremental barrels add real cashflow, especially at current prices. The firm’s trading update for January flagged better-than-expected output and smoother operations, giving executives room to narrow guidance upwards.</w:t>
      </w:r>
      <w:r/>
    </w:p>
    <w:p>
      <w:r/>
      <w:r>
        <w:t>This tweak reflects more than luck. Production is what investors dissect every quarter, and a reliable first quarter helps mend nerves after a choppy year. According to Harbour’s own updates, operational performance and new assets combined to steady the ship.</w:t>
      </w:r>
      <w:r/>
    </w:p>
    <w:p>
      <w:pPr>
        <w:pStyle w:val="Heading2"/>
      </w:pPr>
      <w:r>
        <w:t>Why the US Gulf of Mexico deal matters</w:t>
      </w:r>
      <w:r/>
    </w:p>
    <w:p>
      <w:r/>
      <w:r>
        <w:t>Harbour’s entry into the US Gulf via a multi-billion-dollar acquisition is a clear inflection point. Buying LLOG’s assets gave Harbour immediate scale offshore the US and diversified its portfolio geographically. Industry reporting shows the deal cost roughly $3.2bn, and completion means Harbour now competes on a more global stage.</w:t>
      </w:r>
      <w:r/>
    </w:p>
    <w:p>
      <w:r/>
      <w:r>
        <w:t>Strategically, the Gulf assets offer different reservoir types and regulatory regimes from the North Sea, and that can smooth out production volatility. For investors, US barrels often carry different fiscal profiles, which helps when domestic taxes and policy shifts make UK investment less predictable.</w:t>
      </w:r>
      <w:r/>
    </w:p>
    <w:p>
      <w:pPr>
        <w:pStyle w:val="Heading2"/>
      </w:pPr>
      <w:r>
        <w:t>Diversification across Norway, Argentina and Mexico</w:t>
      </w:r>
      <w:r/>
    </w:p>
    <w:p>
      <w:r/>
      <w:r>
        <w:t>Harbour has steadily widened its footprint in recent years, moving into Norway’s mature offshore sector, Argentina’s frontier plays, and Mexican waters. Each market brings a distinct flavour: Norway offers stable regulation and technical expertise, Argentina promises upside but more political risk, and Mexico delivers scale as the sector opens up.</w:t>
      </w:r>
      <w:r/>
    </w:p>
    <w:p>
      <w:r/>
      <w:r>
        <w:t>The mix matters now that the Middle East war has tightened global markets. Spreading assets across jurisdictions helps hedge against single-region shocks and lets Harbour chase growth where incentives look healthier.</w:t>
      </w:r>
      <w:r/>
    </w:p>
    <w:p>
      <w:pPr>
        <w:pStyle w:val="Heading2"/>
      </w:pPr>
      <w:r>
        <w:t>The Middle East war’s ripple effects on strategy</w:t>
      </w:r>
      <w:r/>
    </w:p>
    <w:p>
      <w:r/>
      <w:r>
        <w:t>Higher oil prices after the conflict have an obvious effect: better short-term revenues. But the strategic tilt is subtler. When home markets look less attractive due to high taxes or policy uncertainty, as some executives have said, companies hunt for value elsewhere. Harbour’s recent moves read like a response to that pressure: find stable or rewarding places to invest and lock in production.</w:t>
      </w:r>
      <w:r/>
    </w:p>
    <w:p>
      <w:r/>
      <w:r>
        <w:t>Analysts and trading updates suggest management is balancing immediate cash generation with longer-term portfolio resilience. Expect them to lean on lower‑risk development campaigns in Norway and steady cash cows in the Gulf while pursuing selective growth in Argentina and Mexico.</w:t>
      </w:r>
      <w:r/>
    </w:p>
    <w:p>
      <w:pPr>
        <w:pStyle w:val="Heading2"/>
      </w:pPr>
      <w:r>
        <w:t>What this means for investors and consumers</w:t>
      </w:r>
      <w:r/>
    </w:p>
    <w:p>
      <w:r/>
      <w:r>
        <w:t>For investors, the modest upgrade is reassuring rather than transformative: Harbour’s output trajectory is higher, and its mix is less UK‑centric. That can mean a steadier dividend outlook if prices hold. For consumers, the link is indirect , more diversified production helps global supply resilience, but prices still respond to geopolitics and demand.</w:t>
      </w:r>
      <w:r/>
    </w:p>
    <w:p>
      <w:r/>
      <w:r>
        <w:t>If you’re watching Harbour, keep an eye on quarterly trading updates, integration progress of the Gulf assets, and any changes in UK fiscal policy. Those will drive how meaningful this production bump becomes over the next 12–24 months.</w:t>
      </w:r>
      <w:r/>
    </w:p>
    <w:p>
      <w:r/>
      <w:r>
        <w:t>It's a small change that can make a big difference to the company's shape , and to how it weatherproofs future shocks.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0">
        <w:r>
          <w:rPr>
            <w:color w:val="0000EE"/>
            <w:u w:val="single"/>
          </w:rPr>
          <w:t>[7]</w:t>
        </w:r>
      </w:hyperlink>
      <w:r>
        <w:t xml:space="preserve">, </w:t>
      </w:r>
      <w:hyperlink r:id="rId12">
        <w:r>
          <w:rPr>
            <w:color w:val="0000EE"/>
            <w:u w:val="single"/>
          </w:rPr>
          <w:t>[3]</w:t>
        </w:r>
      </w:hyperlink>
      <w:r>
        <w:t xml:space="preserve">- Paragraph 3: </w:t>
      </w:r>
      <w:hyperlink r:id="rId11">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https://www.oedigital.com/news/538909-harbour-energy-tweaks-production-outlook-after-strong-first-quarter</w:t>
        </w:r>
      </w:hyperlink>
      <w:r>
        <w:t xml:space="preserve"> - Please view link - unable to able to access data</w:t>
      </w:r>
      <w:r/>
    </w:p>
    <w:p>
      <w:pPr>
        <w:pStyle w:val="ListNumber"/>
        <w:spacing w:line="240" w:lineRule="auto"/>
        <w:ind w:left="720"/>
      </w:pPr>
      <w:r/>
      <w:hyperlink r:id="rId11">
        <w:r>
          <w:rPr>
            <w:color w:val="0000EE"/>
            <w:u w:val="single"/>
          </w:rPr>
          <w:t>https://www.worldoil.com/news/2025/12/22/harbour-enters-u-s-gulf-with-3-2-billion-acquisition-of-llog/</w:t>
        </w:r>
      </w:hyperlink>
      <w:r>
        <w:t xml:space="preserve"> - In December 2025, Harbour Energy announced the acquisition of LLOG Exploration Company LLC for $3.2 billion, marking its entry into the U.S. Gulf of Mexico. This strategic move aims to diversify Harbour's portfolio and establish a new core operating region alongside its existing assets in Norway, the UK, Argentina, and Mexico. The acquisition is expected to significantly expand Harbour's deepwater portfolio, add oil-weighted production, extend reserve life, and improve margins. LLOG's assets are concentrated in the deepwater U.S. Gulf, including operated positions at Who Dat in Mississippi Canyon and Buckskin and Leon-Castile in Keathley Canyon. Current production from the acquired portfolio totals about 34,000 barrels of oil equivalent per day (boepd), with Harbour projecting production to approximately double by 2028, supported by exposure to the Lower Tertiary Wilcox play. CEO Linda Z. Cook stated that the deal fulfills a long-standing strategic objective for Harbour Energy. (</w:t>
      </w:r>
      <w:hyperlink r:id="rId16">
        <w:r>
          <w:rPr>
            <w:color w:val="0000EE"/>
            <w:u w:val="single"/>
          </w:rPr>
          <w:t>worldoil.com</w:t>
        </w:r>
      </w:hyperlink>
      <w:r>
        <w:t>)</w:t>
      </w:r>
      <w:r/>
    </w:p>
    <w:p>
      <w:pPr>
        <w:pStyle w:val="ListNumber"/>
        <w:spacing w:line="240" w:lineRule="auto"/>
        <w:ind w:left="720"/>
      </w:pPr>
      <w:r/>
      <w:hyperlink r:id="rId12">
        <w:r>
          <w:rPr>
            <w:color w:val="0000EE"/>
            <w:u w:val="single"/>
          </w:rPr>
          <w:t>https://www.offshore-mag.com/regional-reports/us-gulf-of-mexico/news/55357044/harbour-energy-harbour-energy-completes-llog-acquisition</w:t>
        </w:r>
      </w:hyperlink>
      <w:r>
        <w:t xml:space="preserve"> - In February 2026, Harbour Energy completed the acquisition of LLOG Exploration Company LLC for $3.2 billion, marking its entry into the U.S. Gulf of Mexico. This acquisition strengthens Harbour's global portfolio and establishes a new core business unit alongside operations in Norway, the UK, Argentina, and Mexico. Through LLOG, Harbour gains a fully operated, oil-weighted portfolio and an exceptional team in one of the world's most prolific oil and gas basins. LLOG's production averaged 36,000 barrels of oil equivalent per day in 2025, reflecting strong performance across the Who Dat and Buckskin hubs and the start-up of Leon-Castille fields in October. Harbour expects production from the acquired assets to increase to 65,000-70,000 boepd by 2028. (</w:t>
      </w:r>
      <w:hyperlink r:id="rId17">
        <w:r>
          <w:rPr>
            <w:color w:val="0000EE"/>
            <w:u w:val="single"/>
          </w:rPr>
          <w:t>offshore-mag.com</w:t>
        </w:r>
      </w:hyperlink>
      <w:r>
        <w:t>)</w:t>
      </w:r>
      <w:r/>
    </w:p>
    <w:p>
      <w:pPr>
        <w:pStyle w:val="ListNumber"/>
        <w:spacing w:line="240" w:lineRule="auto"/>
        <w:ind w:left="720"/>
      </w:pPr>
      <w:r/>
      <w:hyperlink r:id="rId13">
        <w:r>
          <w:rPr>
            <w:color w:val="0000EE"/>
            <w:u w:val="single"/>
          </w:rPr>
          <w:t>https://www.rivieramm.com/news-content-hub/news-content-hub/harbour-energy-enters-us-offshore-market-finalises-us32bn-acquisition-of-llog-87788</w:t>
        </w:r>
      </w:hyperlink>
      <w:r>
        <w:t xml:space="preserve"> - In February 2026, Harbour Energy completed the acquisition of LLOG Exploration Company LLC for $3.2 billion, marking its strategic entry into the U.S. offshore oil and gas market. This acquisition strengthens Harbour's global portfolio and establishes a new core business unit alongside operations in Norway, the UK, Argentina, and Mexico. Through LLOG, Harbour gains a fully operated, oil-weighted portfolio and an exceptional team in one of the world's most prolific oil and gas basins. LLOG's production averaged 36,000 barrels of oil equivalent per day in 2025, with strong performance across the Who Dat and Buckskin hubs and the start-up of Leon-Castille fields in October. Harbour expects production from the acquired assets to increase to 65,000-70,000 boepd by 2028. (</w:t>
      </w:r>
      <w:hyperlink r:id="rId18">
        <w:r>
          <w:rPr>
            <w:color w:val="0000EE"/>
            <w:u w:val="single"/>
          </w:rPr>
          <w:t>rivieramm.com</w:t>
        </w:r>
      </w:hyperlink>
      <w:r>
        <w:t>)</w:t>
      </w:r>
      <w:r/>
    </w:p>
    <w:p>
      <w:pPr>
        <w:pStyle w:val="ListNumber"/>
        <w:spacing w:line="240" w:lineRule="auto"/>
        <w:ind w:left="720"/>
      </w:pPr>
      <w:r/>
      <w:hyperlink r:id="rId14">
        <w:r>
          <w:rPr>
            <w:color w:val="0000EE"/>
            <w:u w:val="single"/>
          </w:rPr>
          <w:t>https://www.harbourenergy.com/no/what-we-do/norge/</w:t>
        </w:r>
      </w:hyperlink>
      <w:r>
        <w:t xml:space="preserve"> - Harbour Energy has been awarded nine exploration licences in the APA 2025 licensing round in Norway. The company is the operator of four of these licences, indicating a significant expansion of its operations in Norway. This development is part of Harbour's broader strategy to diversify its portfolio and strengthen its presence in key oil and gas regions. The Norwegian sector is a critical area for Harbour, contributing to its position as one of the world's largest and most geographically diverse independent oil and gas companies. (</w:t>
      </w:r>
      <w:hyperlink r:id="rId19">
        <w:r>
          <w:rPr>
            <w:color w:val="0000EE"/>
            <w:u w:val="single"/>
          </w:rPr>
          <w:t>harbourenergy.com</w:t>
        </w:r>
      </w:hyperlink>
      <w:r>
        <w:t>)</w:t>
      </w:r>
      <w:r/>
    </w:p>
    <w:p>
      <w:pPr>
        <w:pStyle w:val="ListNumber"/>
        <w:spacing w:line="240" w:lineRule="auto"/>
        <w:ind w:left="720"/>
      </w:pPr>
      <w:r/>
      <w:hyperlink r:id="rId15">
        <w:r>
          <w:rPr>
            <w:color w:val="0000EE"/>
            <w:u w:val="single"/>
          </w:rPr>
          <w:t>https://www.harbourenergy.com/es/what-we-do/argentina/</w:t>
        </w:r>
      </w:hyperlink>
      <w:r>
        <w:t xml:space="preserve"> - Harbour Energy has been active in Argentina for more than four decades, where it is a major supplier of energy and one of the country’s top producers of natural gas. The company partners with TotalEnergies in the CMA-1 concession in Tierra del Fuego province and holds interests in the San Roque conventional oil play and the Aguada Pichana Este unconventional play in the Vaca Muerta shale formation in Neuquen province. Harbour also has a 15% interest in the Southern Energy floating liquefied natural gas (FLNG) export project, which provides access to global natural gas markets and prices. (</w:t>
      </w:r>
      <w:hyperlink r:id="rId20">
        <w:r>
          <w:rPr>
            <w:color w:val="0000EE"/>
            <w:u w:val="single"/>
          </w:rPr>
          <w:t>harbourenergy.com</w:t>
        </w:r>
      </w:hyperlink>
      <w:r>
        <w:t>)</w:t>
      </w:r>
      <w:r/>
    </w:p>
    <w:p>
      <w:pPr>
        <w:pStyle w:val="ListNumber"/>
        <w:spacing w:line="240" w:lineRule="auto"/>
        <w:ind w:left="720"/>
      </w:pPr>
      <w:r/>
      <w:hyperlink r:id="rId10">
        <w:r>
          <w:rPr>
            <w:color w:val="0000EE"/>
            <w:u w:val="single"/>
          </w:rPr>
          <w:t>https://www.harbourenergy.com/news-and-media/trading-operations-update-jan-2026/</w:t>
        </w:r>
      </w:hyperlink>
      <w:r>
        <w:t xml:space="preserve"> - In January 2026, Harbour Energy provided an unaudited Trading and Operations Update for the year ended 31 December 2025. The company reported strong operational performance, strict capital discipline, and the successful integration of new assets, which drove production to the top end of guidance and stronger than anticipated free cash flow generation, despite softer commodity prices. Looking ahead to 2026, Harbour's priorities include delivering another year of outstanding operational performance, continuing to mature organic growth opportunities, strengthening the balance sheet, and completing announced transactions, all of which position the company better for the future. (</w:t>
      </w:r>
      <w:hyperlink r:id="rId21">
        <w:r>
          <w:rPr>
            <w:color w:val="0000EE"/>
            <w:u w:val="single"/>
          </w:rPr>
          <w:t>harbourenergy.com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edigital.com/news/538909-harbour-energy-tweaks-production-outlook-after-strong-first-quarter" TargetMode="External"/><Relationship Id="rId10" Type="http://schemas.openxmlformats.org/officeDocument/2006/relationships/hyperlink" Target="https://www.harbourenergy.com/news-and-media/trading-operations-update-jan-2026/" TargetMode="External"/><Relationship Id="rId11" Type="http://schemas.openxmlformats.org/officeDocument/2006/relationships/hyperlink" Target="https://www.worldoil.com/news/2025/12/22/harbour-enters-u-s-gulf-with-3-2-billion-acquisition-of-llog/" TargetMode="External"/><Relationship Id="rId12" Type="http://schemas.openxmlformats.org/officeDocument/2006/relationships/hyperlink" Target="https://www.offshore-mag.com/regional-reports/us-gulf-of-mexico/news/55357044/harbour-energy-harbour-energy-completes-llog-acquisition" TargetMode="External"/><Relationship Id="rId13" Type="http://schemas.openxmlformats.org/officeDocument/2006/relationships/hyperlink" Target="https://www.rivieramm.com/news-content-hub/news-content-hub/harbour-energy-enters-us-offshore-market-finalises-us32bn-acquisition-of-llog-87788" TargetMode="External"/><Relationship Id="rId14" Type="http://schemas.openxmlformats.org/officeDocument/2006/relationships/hyperlink" Target="https://www.harbourenergy.com/no/what-we-do/norge/" TargetMode="External"/><Relationship Id="rId15" Type="http://schemas.openxmlformats.org/officeDocument/2006/relationships/hyperlink" Target="https://www.harbourenergy.com/es/what-we-do/argentina/" TargetMode="External"/><Relationship Id="rId16" Type="http://schemas.openxmlformats.org/officeDocument/2006/relationships/hyperlink" Target="https://www.worldoil.com/news/2025/12/22/harbour-enters-u-s-gulf-with-3-2-billion-acquisition-of-llog/?utm_source=openai" TargetMode="External"/><Relationship Id="rId17" Type="http://schemas.openxmlformats.org/officeDocument/2006/relationships/hyperlink" Target="https://www.offshore-mag.com/regional-reports/us-gulf-of-mexico/news/55357044/harbour-energy-harbour-energy-completes-llog-acquisition?utm_source=openai" TargetMode="External"/><Relationship Id="rId18" Type="http://schemas.openxmlformats.org/officeDocument/2006/relationships/hyperlink" Target="https://www.rivieramm.com/news-content-hub/news-content-hub/harbour-energy-enters-us-offshore-market-finalises-us32bn-acquisition-of-llog-87788?utm_source=openai" TargetMode="External"/><Relationship Id="rId19" Type="http://schemas.openxmlformats.org/officeDocument/2006/relationships/hyperlink" Target="https://www.harbourenergy.com/no/what-we-do/norge/?utm_source=openai" TargetMode="External"/><Relationship Id="rId20" Type="http://schemas.openxmlformats.org/officeDocument/2006/relationships/hyperlink" Target="https://www.harbourenergy.com/es/what-we-do/argentina/?utm_source=openai" TargetMode="External"/><Relationship Id="rId21" Type="http://schemas.openxmlformats.org/officeDocument/2006/relationships/hyperlink" Target="https://www.harbourenergy.com/news-and-media/trading-operations-update-jan-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