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Proportionate Supervision Approaches for MiFID II Sustainability Requirements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investment advice , clients, advisers and regulators , are watching closely as ESMA urges a proportionate supervisory approach to firms implementing MiFID II sustainability rules, aiming to balance dialogue and guidance with enforcement while the wider sustainable finance framework evolves.</w:t>
      </w:r>
      <w:r/>
    </w:p>
    <w:p>
      <w:r/>
      <w:r>
        <w:t>Essential Takeaways</w:t>
      </w:r>
      <w:r/>
      <w:r/>
    </w:p>
    <w:p>
      <w:pPr>
        <w:pStyle w:val="ListBullet"/>
        <w:spacing w:line="240" w:lineRule="auto"/>
        <w:ind w:left="720"/>
      </w:pPr>
      <w:r/>
      <w:r>
        <w:rPr>
          <w:b/>
        </w:rPr>
        <w:t>Progress noted:</w:t>
      </w:r>
      <w:r>
        <w:t xml:space="preserve"> ESMA found firms have generally advanced in applying MiFID II sustainability requirements, but practices vary and gaps remain.</w:t>
      </w:r>
      <w:r/>
    </w:p>
    <w:p>
      <w:pPr>
        <w:pStyle w:val="ListBullet"/>
        <w:spacing w:line="240" w:lineRule="auto"/>
        <w:ind w:left="720"/>
      </w:pPr>
      <w:r/>
      <w:r>
        <w:rPr>
          <w:b/>
        </w:rPr>
        <w:t>Client experience matters:</w:t>
      </w:r>
      <w:r>
        <w:t xml:space="preserve"> Questionnaires and interactive tools are common; many clients still find “sustainability preferences” hard to grasp.</w:t>
      </w:r>
      <w:r/>
    </w:p>
    <w:p>
      <w:pPr>
        <w:pStyle w:val="ListBullet"/>
        <w:spacing w:line="240" w:lineRule="auto"/>
        <w:ind w:left="720"/>
      </w:pPr>
      <w:r/>
      <w:r>
        <w:rPr>
          <w:b/>
        </w:rPr>
        <w:t>Proportionate product categorisation:</w:t>
      </w:r>
      <w:r>
        <w:t xml:space="preserve"> Firms may use pragmatic categorisation where data are limited, provided methods are consistent and documented.</w:t>
      </w:r>
      <w:r/>
    </w:p>
    <w:p>
      <w:pPr>
        <w:pStyle w:val="ListBullet"/>
        <w:spacing w:line="240" w:lineRule="auto"/>
        <w:ind w:left="720"/>
      </w:pPr>
      <w:r/>
      <w:r>
        <w:rPr>
          <w:b/>
        </w:rPr>
        <w:t>Record-keeping weaknesses:</w:t>
      </w:r>
      <w:r>
        <w:t xml:space="preserve"> Firms must improve documentation of preference collection, adaptations and the rationale behind suitability decisions.</w:t>
      </w:r>
      <w:r/>
    </w:p>
    <w:p>
      <w:pPr>
        <w:pStyle w:val="ListBullet"/>
        <w:spacing w:line="240" w:lineRule="auto"/>
        <w:ind w:left="720"/>
      </w:pPr>
      <w:r/>
      <w:r>
        <w:rPr>
          <w:b/>
        </w:rPr>
        <w:t>Regulatory patience:</w:t>
      </w:r>
      <w:r>
        <w:t xml:space="preserve"> ESMA encourages dialogue and fixes during transition, reserving enforcement for clear breaches or mis‑selling.</w:t>
      </w:r>
      <w:r/>
      <w:r/>
    </w:p>
    <w:p>
      <w:pPr>
        <w:pStyle w:val="Heading2"/>
      </w:pPr>
      <w:r>
        <w:t>Why ESMA is asking for proportionality , and what that feels like in practice</w:t>
      </w:r>
      <w:r/>
    </w:p>
    <w:p>
      <w:r/>
      <w:r>
        <w:t>ESMA’s recent statement makes plain that supervisors should favour engagement over immediate penalties while firms adapt to MiFID II sustainability rules, and that tone is reassuringly pragmatic. The regulator’s Common Supervisory Action (CSA), covering 245 firms over 2024–25, found steady progress but patchy implementation across jurisdictions. That means some clients get a clear, friendly questionnaire; others face confusing jargon and incomplete records.</w:t>
      </w:r>
      <w:r/>
    </w:p>
    <w:p>
      <w:r/>
      <w:r>
        <w:t>This softer supervisory stance recognises the practical friction firms face , limited data, evolving SFDR rules, and different business models. For firms, that translates into working conversations with competent authorities rather than a first instinct to expect fines, unless there’s obvious mis‑selling.</w:t>
      </w:r>
      <w:r/>
    </w:p>
    <w:p>
      <w:pPr>
        <w:pStyle w:val="Heading2"/>
      </w:pPr>
      <w:r>
        <w:t>What firms are doing to capture sustainability preferences , and where they stumble</w:t>
      </w:r>
      <w:r/>
    </w:p>
    <w:p>
      <w:r/>
      <w:r>
        <w:t>Most firms now use more detailed questionnaires and digital aids like clickable icons or pop-ups to explain sustainability terms, which helps make the process feel more human. Yet ESMA flagged recurring issues: questionnaires only touching on in‑house product categories, vague handling of Principal Adverse Impacts, and inconsistent policies for clients who don’t express preferences.</w:t>
      </w:r>
      <w:r/>
    </w:p>
    <w:p>
      <w:r/>
      <w:r>
        <w:t>Practical tip: keep client questionnaires neutral, concise and proportionate , avoid overwhelming technical terms while documenting answers clearly. That strikes the balance ESMA wants between meaningful client choice and usability.</w:t>
      </w:r>
      <w:r/>
    </w:p>
    <w:p>
      <w:pPr>
        <w:pStyle w:val="Heading2"/>
      </w:pPr>
      <w:r>
        <w:t>Product categorisation in a data‑scarce world , sensible shortcuts are allowed</w:t>
      </w:r>
      <w:r/>
    </w:p>
    <w:p>
      <w:r/>
      <w:r>
        <w:t>Firms use a wide range of methods to label products with sustainability features, especially for instruments outside SFDR’s current scope. ESMA accepts proportional approaches where reliable data are lacking, provided categorisation frameworks are consistent, well documented and suitable for a MiFID-compliant suitability assessment.</w:t>
      </w:r>
      <w:r/>
    </w:p>
    <w:p>
      <w:r/>
      <w:r>
        <w:t>So, don’t invent false granularity. If your data only supports broad environmental, social or governance buckets, use them consistently and explain the limits to clients. That transparency keeps advice honest and defensible.</w:t>
      </w:r>
      <w:r/>
    </w:p>
    <w:p>
      <w:pPr>
        <w:pStyle w:val="Heading2"/>
      </w:pPr>
      <w:r>
        <w:t>Suitability, portfolio approaches and adapting preferences , practical hurdles</w:t>
      </w:r>
      <w:r/>
    </w:p>
    <w:p>
      <w:r/>
      <w:r>
        <w:t>Integrating sustainability into suitability checks often relies on a “portfolio approach” and varies by business model. ESMA wants firms to articulate chosen methods clearly inside their procedures so advisers apply preferences consistently. Where a client’s stated preferences can’t be met due to product scarcity, advisers should show the closest alternatives and let clients adjust their preferences before any recommendation , that’s a MiFID must.</w:t>
      </w:r>
      <w:r/>
    </w:p>
    <w:p>
      <w:r/>
      <w:r>
        <w:t>Practical tip: build standard scripts and written explanations for advisers to use when no perfect match exists, and log the client’s response and any adaptations.</w:t>
      </w:r>
      <w:r/>
    </w:p>
    <w:p>
      <w:pPr>
        <w:pStyle w:val="Heading2"/>
      </w:pPr>
      <w:r>
        <w:t>Record keeping, target markets and the road ahead</w:t>
      </w:r>
      <w:r/>
    </w:p>
    <w:p>
      <w:r/>
      <w:r>
        <w:t>Several firms don’t capture the full trail of preference changes or the reasoning behind product matches , an avoidable blind spot. ESMA also found many target market assessments lack the granularity needed to match products effectively to sustainability objectives, and few firms consider sustainability in negative target market assessments for non‑ESG products.</w:t>
      </w:r>
      <w:r/>
    </w:p>
    <w:p>
      <w:r/>
      <w:r>
        <w:t>Good records matter: keep the initial questionnaire, any discussion notes, the rationale for adaptations and the final choice. That protects clients and firms if a suitability decision is later queried.</w:t>
      </w:r>
      <w:r/>
    </w:p>
    <w:p>
      <w:pPr>
        <w:pStyle w:val="Heading2"/>
      </w:pPr>
      <w:r>
        <w:t>What this means next , waiting for SFDR clarity and incremental improvement</w:t>
      </w:r>
      <w:r/>
    </w:p>
    <w:p>
      <w:r/>
      <w:r>
        <w:t>ESMA acknowledges the CSA happened amid major sustainable finance reform, and expects future SFDR and RIS updates to clarify disclosures and prompt firms to refine MiFID II processes further. Meanwhile, firms should use this transition window to tighten procedures, improve client explanations and remedy documentation gaps.</w:t>
      </w:r>
      <w:r/>
    </w:p>
    <w:p>
      <w:r/>
      <w:r>
        <w:t>Regulators signalling proportionality gives firms breathing space , but it’s also a call to act rather than pause.</w:t>
      </w:r>
      <w:r/>
    </w:p>
    <w:p>
      <w:r/>
      <w:r>
        <w:t>It's a small administrative shift that can make sustainability advice clearer, fairer and easier to defend.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https://financialregulation.linklaters.com/post/102ms0j/esma-encourages-regulatory-supervisors-to-adopt-a-proportionate-approach-to-fir</w:t>
        </w:r>
      </w:hyperlink>
      <w:r>
        <w:t xml:space="preserve"> - Please view link - unable to able to access data</w:t>
      </w:r>
      <w:r/>
    </w:p>
    <w:p>
      <w:pPr>
        <w:pStyle w:val="ListNumber"/>
        <w:spacing w:line="240" w:lineRule="auto"/>
        <w:ind w:left="720"/>
      </w:pPr>
      <w:r/>
      <w:hyperlink r:id="rId10">
        <w:r>
          <w:rPr>
            <w:color w:val="0000EE"/>
            <w:u w:val="single"/>
          </w:rPr>
          <w:t>https://www.esma.europa.eu/press-news/esma-news/esma-promotes-proportionate-supervision-mifid-ii-sustainability-requirements</w:t>
        </w:r>
      </w:hyperlink>
      <w:r>
        <w:t xml:space="preserve"> - On 6 May 2026, the European Securities and Markets Authority (ESMA) issued a statement presenting the results of its Common Supervisory Action (CSA) on integrating sustainability into firms' suitability assessments and product governance processes. The CSA aimed to assess the progress made by firms in implementing key sustainability requirements introduced in 2022 following amendments to the MiFID II Delegated Acts. ESMA encourages national competent authorities to adopt a proportionate supervisory approach, fostering dialogue with firms during the transition period rather than prioritising enforcement actions, except in cases of clear breaches or mis-selling.</w:t>
      </w:r>
      <w:r/>
    </w:p>
    <w:p>
      <w:pPr>
        <w:pStyle w:val="ListNumber"/>
        <w:spacing w:line="240" w:lineRule="auto"/>
        <w:ind w:left="720"/>
      </w:pPr>
      <w:r/>
      <w:hyperlink r:id="rId12">
        <w:r>
          <w:rPr>
            <w:color w:val="0000EE"/>
            <w:u w:val="single"/>
          </w:rPr>
          <w:t>https://www.esma.europa.eu/press-news/esma-news/esma-launch-common-supervisory-action-mifid-ii-sustainability-requirements</w:t>
        </w:r>
      </w:hyperlink>
      <w:r>
        <w:t xml:space="preserve"> - On 3 October 2023, ESMA announced the launch of a Common Supervisory Action (CSA) with National Competent Authorities (NCAs) to assess the integration of sustainability in firms' suitability assessments and product governance processes. The CSA, conducted during 2024, focused on how firms collect information on clients' sustainability preferences, categorise investment products with sustainability factors, ensure the suitability of investments concerning sustainability, and specify sustainability-related objectives in target market assessments. This initiative aimed to ensure consistent application of EU rules and enhance investor protection.</w:t>
      </w:r>
      <w:r/>
    </w:p>
    <w:p>
      <w:pPr>
        <w:pStyle w:val="ListNumber"/>
        <w:spacing w:line="240" w:lineRule="auto"/>
        <w:ind w:left="720"/>
      </w:pPr>
      <w:r/>
      <w:hyperlink r:id="rId14">
        <w:r>
          <w:rPr>
            <w:color w:val="0000EE"/>
            <w:u w:val="single"/>
          </w:rPr>
          <w:t>https://www.esma.europa.eu/press-news/esma-news/esma-publishes-final-guidelines-mifid-ii-suitability-requirements-0</w:t>
        </w:r>
      </w:hyperlink>
      <w:r>
        <w:t xml:space="preserve"> - On 23 September 2022, ESMA published its Final Report on Guidelines on certain aspects of the MiFID II suitability requirements. The guidelines introduced amendments to the MiFID II Delegated Regulation, reflecting the integration of sustainability factors, risks, and preferences into firms' organisational requirements and operating conditions. Key amendments include the need for firms to help clients understand the concept of sustainability preferences, collect information on clients' preferences regarding sustainable investment products, and explain the difference between products with and without sustainability features in a clear manner, avoiding technical language.</w:t>
      </w:r>
      <w:r/>
    </w:p>
    <w:p>
      <w:pPr>
        <w:pStyle w:val="ListNumber"/>
        <w:spacing w:line="240" w:lineRule="auto"/>
        <w:ind w:left="720"/>
      </w:pPr>
      <w:r/>
      <w:hyperlink r:id="rId11">
        <w:r>
          <w:rPr>
            <w:color w:val="0000EE"/>
            <w:u w:val="single"/>
          </w:rPr>
          <w:t>https://cms.law/en/int/regulatory-news/esma-common-supervisory-action-on-mifid-ii-sustainability-aspects</w:t>
        </w:r>
      </w:hyperlink>
      <w:r>
        <w:t xml:space="preserve"> - On 6 May 2026, ESMA published a statement on the results of its Common Supervisory Action (CSA) regarding the integration of sustainability into firms' suitability assessments and product governance processes. The CSA aimed to assess the progress made by firms in implementing key sustainability requirements introduced in 2022 following amendments to the MiFID II Delegated Acts. ESMA encourages national competent authorities to adopt a proportionate supervisory approach, fostering dialogue with firms during the transition period rather than prioritising enforcement actions, except in cases of clear breaches or mis-selling.</w:t>
      </w:r>
      <w:r/>
    </w:p>
    <w:p>
      <w:pPr>
        <w:pStyle w:val="ListNumber"/>
        <w:spacing w:line="240" w:lineRule="auto"/>
        <w:ind w:left="720"/>
      </w:pPr>
      <w:r/>
      <w:hyperlink r:id="rId15">
        <w:r>
          <w:rPr>
            <w:color w:val="0000EE"/>
            <w:u w:val="single"/>
          </w:rPr>
          <w:t>https://www.securities-services.societegenerale.com/de/insights/views/news/esg-mifid-ii-common-supervisory-action-on-mifid-ii-sustainability-requirements-in-2024/</w:t>
        </w:r>
      </w:hyperlink>
      <w:r>
        <w:t xml:space="preserve"> - On 3 October 2023, ESMA announced the launch of a Common Supervisory Action (CSA) with National Competent Authorities (NCAs) to assess the integration of sustainability in firms' suitability assessments and product governance processes. The CSA, conducted during 2024, focused on how firms collect information on clients' sustainability preferences, categorise investment products with sustainability factors, ensure the suitability of investments concerning sustainability, and specify sustainability-related objectives in target market assessments. This initiative aimed to ensure consistent application of EU rules and enhance investor protection.</w:t>
      </w:r>
      <w:r/>
    </w:p>
    <w:p>
      <w:pPr>
        <w:pStyle w:val="ListNumber"/>
        <w:spacing w:line="240" w:lineRule="auto"/>
        <w:ind w:left="720"/>
      </w:pPr>
      <w:r/>
      <w:hyperlink r:id="rId13">
        <w:r>
          <w:rPr>
            <w:color w:val="0000EE"/>
            <w:u w:val="single"/>
          </w:rPr>
          <w:t>https://www.rmcwise.com/insights/esma-guidelines-on-certain-aspects-of-the-mifid-ii-suitability-requirements/</w:t>
        </w:r>
      </w:hyperlink>
      <w:r>
        <w:t xml:space="preserve"> - Following a consultation paper earlier this year, ESMA published its Final Report on Guidelines on Certain Aspects of the MiFID II Suitability Requirements on 23 September 2022. These guidelines update the previous 2018 version and integrate sustainability factors, risks, and preferences into firms' organisational requirements and operating conditions. The guidelines are applicable to investment firms and credit institutions providing investment advice and portfolio management, UCITS management companies, and AIFMs when providing investment advice and individual portfolio management. The main amendments reflect changes introduced to the MiFID II Delegated Regulation, including the collection of information from clients on sustainability preferences and the need for firms to help clients understand the concept of sustainability preferences.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ialregulation.linklaters.com/post/102ms0j/esma-encourages-regulatory-supervisors-to-adopt-a-proportionate-approach-to-fir" TargetMode="External"/><Relationship Id="rId10" Type="http://schemas.openxmlformats.org/officeDocument/2006/relationships/hyperlink" Target="https://www.esma.europa.eu/press-news/esma-news/esma-promotes-proportionate-supervision-mifid-ii-sustainability-requirements" TargetMode="External"/><Relationship Id="rId11" Type="http://schemas.openxmlformats.org/officeDocument/2006/relationships/hyperlink" Target="https://cms.law/en/int/regulatory-news/esma-common-supervisory-action-on-mifid-ii-sustainability-aspects" TargetMode="External"/><Relationship Id="rId12" Type="http://schemas.openxmlformats.org/officeDocument/2006/relationships/hyperlink" Target="https://www.esma.europa.eu/press-news/esma-news/esma-launch-common-supervisory-action-mifid-ii-sustainability-requirements" TargetMode="External"/><Relationship Id="rId13" Type="http://schemas.openxmlformats.org/officeDocument/2006/relationships/hyperlink" Target="https://www.rmcwise.com/insights/esma-guidelines-on-certain-aspects-of-the-mifid-ii-suitability-requirements/" TargetMode="External"/><Relationship Id="rId14" Type="http://schemas.openxmlformats.org/officeDocument/2006/relationships/hyperlink" Target="https://www.esma.europa.eu/press-news/esma-news/esma-publishes-final-guidelines-mifid-ii-suitability-requirements-0" TargetMode="External"/><Relationship Id="rId15" Type="http://schemas.openxmlformats.org/officeDocument/2006/relationships/hyperlink" Target="https://www.securities-services.societegenerale.com/de/insights/views/news/esg-mifid-ii-common-supervisory-action-on-mifid-ii-sustainability-requirements-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