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Voluntary Biodiversity Market Trends and 2026 Sales Projections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corporates are eyeing nature credits as more data surfaces , bloomlabs’ April overview shows who bought what, where, and why this matters for 2026 market projections. The voluntary biodiversity market is tiny, jumpy, and suddenly more visible thanks to new data partnerships that reshape sales totals and buyer signals.</w:t>
      </w:r>
      <w:r/>
    </w:p>
    <w:p>
      <w:r/>
      <w:r>
        <w:t>Essential Takeaways</w:t>
      </w:r>
      <w:r/>
      <w:r/>
    </w:p>
    <w:p>
      <w:pPr>
        <w:pStyle w:val="ListBullet"/>
        <w:spacing w:line="240" w:lineRule="auto"/>
        <w:ind w:left="720"/>
      </w:pPr>
      <w:r/>
      <w:r>
        <w:rPr>
          <w:b/>
        </w:rPr>
        <w:t>Restated volumes:</w:t>
      </w:r>
      <w:r>
        <w:t xml:space="preserve"> Bloom’s database now records $6.72m–$6.44m in cumulative VBM sales through March–April after adding green account data, shifting 2024 and 2025 figures upward. </w:t>
      </w:r>
      <w:r/>
    </w:p>
    <w:p>
      <w:pPr>
        <w:pStyle w:val="ListBullet"/>
        <w:spacing w:line="240" w:lineRule="auto"/>
        <w:ind w:left="720"/>
      </w:pPr>
      <w:r/>
      <w:r>
        <w:rPr>
          <w:b/>
        </w:rPr>
        <w:t>April spike:</w:t>
      </w:r>
      <w:r>
        <w:t xml:space="preserve"> April 2026 saw $280k in sales across 47 transactions, with two German projects via green account representing 98% of the month’s value. </w:t>
      </w:r>
      <w:r/>
    </w:p>
    <w:p>
      <w:pPr>
        <w:pStyle w:val="ListBullet"/>
        <w:spacing w:line="240" w:lineRule="auto"/>
        <w:ind w:left="720"/>
      </w:pPr>
      <w:r/>
      <w:r>
        <w:rPr>
          <w:b/>
        </w:rPr>
        <w:t>Buyer mix:</w:t>
      </w:r>
      <w:r>
        <w:t xml:space="preserve"> B2B deals dominate value , 98% of April’s dollar volume , while B2C provides steady, small-ticket purchases and public visibility. </w:t>
      </w:r>
      <w:r/>
    </w:p>
    <w:p>
      <w:pPr>
        <w:pStyle w:val="ListBullet"/>
        <w:spacing w:line="240" w:lineRule="auto"/>
        <w:ind w:left="720"/>
      </w:pPr>
      <w:r/>
      <w:r>
        <w:rPr>
          <w:b/>
        </w:rPr>
        <w:t>Market structure:</w:t>
      </w:r>
      <w:r>
        <w:t xml:space="preserve"> Sales are lumpy, driven by occasional large B2B purchases surrounded by low-volume retail transactions, making month-to-month comparisons unreliable. </w:t>
      </w:r>
      <w:r/>
    </w:p>
    <w:p>
      <w:pPr>
        <w:pStyle w:val="ListBullet"/>
        <w:spacing w:line="240" w:lineRule="auto"/>
        <w:ind w:left="720"/>
      </w:pPr>
      <w:r/>
      <w:r>
        <w:rPr>
          <w:b/>
        </w:rPr>
        <w:t>Practical note:</w:t>
      </w:r>
      <w:r>
        <w:t xml:space="preserve"> Integrating established compliance infrastructure, like Germany’s Ökopunkte, can rapidly scale voluntary channels because buyers already understand the system.</w:t>
      </w:r>
      <w:r/>
      <w:r/>
    </w:p>
    <w:p>
      <w:pPr>
        <w:pStyle w:val="Heading2"/>
      </w:pPr>
      <w:r>
        <w:t>Why the April numbers suddenly look bigger</w:t>
      </w:r>
      <w:r/>
    </w:p>
    <w:p>
      <w:r/>
      <w:r>
        <w:t>Bloom updated its dataset this month after integrating green account’s transactions, and the effect is immediate: January’s and subsequent months’ totals were restated upwards, lifting the cumulative VBM value. That soft, slightly earthy smell of fresh data matters , suddenly previously invisible sales show up and change how we read trends. According to bloomlabs, this is the fourth monthly overview and the team is clear that every new partner adds a layer of historical volume.</w:t>
      </w:r>
      <w:r/>
    </w:p>
    <w:p>
      <w:r/>
      <w:r>
        <w:t>This sort of restatement is frustrating if you track month-on-month, but it’s also welcome. Voluntary biodiversity markets (VBM) have been opaque; adding long-running systems like Germany’s Ökopunkte reveals how much of the market has been hiding in plain sight. If you follow the numbers, expect more revisions as Bloom onboards other datasets.</w:t>
      </w:r>
      <w:r/>
    </w:p>
    <w:p>
      <w:pPr>
        <w:pStyle w:val="Heading2"/>
      </w:pPr>
      <w:r>
        <w:t>April’s headline: two German projects dominated the month</w:t>
      </w:r>
      <w:r/>
    </w:p>
    <w:p>
      <w:r/>
      <w:r>
        <w:t>April’s $280k total hinged on Ippenburg and Sumpfwald, two German restoration projects sold through green account that together accounted for $275k. The deals were mostly anonymous B2B purchases executed on a marketplace buyers already trust, and prices varied by project and credit type. You can almost feel the scale: one small wet forest conversion and a larger restoration network delivering the lion’s share of the month’s receipts.</w:t>
      </w:r>
      <w:r/>
    </w:p>
    <w:p>
      <w:r/>
      <w:r>
        <w:t>This concentration underlines a core VBM truth , a single large transaction can make a month look enormous. It also shows the power of channels that sit on existing compliance machinery: Ökopunkte are not new to German corporates, so green account didn’t need to explain the concept from scratch.</w:t>
      </w:r>
      <w:r/>
    </w:p>
    <w:p>
      <w:pPr>
        <w:pStyle w:val="Heading2"/>
      </w:pPr>
      <w:r>
        <w:t>B2B versus B2C: who’s really buying biodiversity?</w:t>
      </w:r>
      <w:r/>
    </w:p>
    <w:p>
      <w:r/>
      <w:r>
        <w:t>April’s value was overwhelmingly B2B; retail buyers keep the market visible through many small purchases, but they don’t move the revenue needle yet. Bloom found 41 B2C transactions totalling just over $4k, while six B2B deals made up nearly the entire sum. Named buyers were rare, which is typical when firms prefer anonymity or when marketplaces handle visibility differently.</w:t>
      </w:r>
      <w:r/>
    </w:p>
    <w:p>
      <w:r/>
      <w:r>
        <w:t>For organisations considering credits, this split matters. If your aim is reputational visibility, B2C-style public retirements help; if your aim is material impact or portfolio allocation, expect most monetary volume to come from bigger B2B commitments , often anonymous, often domestic.</w:t>
      </w:r>
      <w:r/>
    </w:p>
    <w:p>
      <w:pPr>
        <w:pStyle w:val="Heading2"/>
      </w:pPr>
      <w:r>
        <w:t>Why Germany’s Ökopunkte are an instructive case study</w:t>
      </w:r>
      <w:r/>
    </w:p>
    <w:p>
      <w:r/>
      <w:r>
        <w:t>green account markets voluntary Ökopunkte that have existed under Germany’s Federal Nature Conservation Act since 1998, so the paperwork, planning offices, and verification processes are established. Turning a compliance-grade instrument into a voluntary offering is effectively adding a new sales channel on top of an existing stack , a low-friction way to unlock demand.</w:t>
      </w:r>
      <w:r/>
    </w:p>
    <w:p>
      <w:r/>
      <w:r>
        <w:t>Bloom reports four green account projects account for all voluntary sales tracked from that platform, and green account separately facilitates far larger sums on the compliance side. The lesson is practical: when market infrastructure exists, voluntary channels can scale more quickly because buyers don’t need a primer on what a credit even is.</w:t>
      </w:r>
      <w:r/>
    </w:p>
    <w:p>
      <w:pPr>
        <w:pStyle w:val="Heading2"/>
      </w:pPr>
      <w:r>
        <w:t>Global context and why policymakers matter for 2026 growth</w:t>
      </w:r>
      <w:r/>
    </w:p>
    <w:p>
      <w:r/>
      <w:r>
        <w:t>Several policy nudges and institutional moves this month suggest the voluntary market could get pulled into larger flows. Barclays adding biodiversity credits to its sustainable finance framework, national plans in Ethiopia and Italy naming biodiversity credits, and the EIF-backed private credit fund all point to a slowly improving supply–demand plumbing for nature finance.</w:t>
      </w:r>
      <w:r/>
    </w:p>
    <w:p>
      <w:r/>
      <w:r>
        <w:t>Industry reports and market researchers have long flagged the same barriers , lack of standard metrics, unclear policy links, and limited market credibility , and the policy developments could address those gaps. If governments or large banks create predictable demand or guarantees, expect risk capital and institutional buyers to follow, which would push the 2026 sales projection materially higher.</w:t>
      </w:r>
      <w:r/>
    </w:p>
    <w:p>
      <w:pPr>
        <w:pStyle w:val="Heading2"/>
      </w:pPr>
      <w:r>
        <w:t>Practical tips for buyers and project developers</w:t>
      </w:r>
      <w:r/>
      <w:r/>
    </w:p>
    <w:p>
      <w:pPr>
        <w:pStyle w:val="ListBullet"/>
        <w:spacing w:line="240" w:lineRule="auto"/>
        <w:ind w:left="720"/>
      </w:pPr>
      <w:r/>
      <w:r>
        <w:t xml:space="preserve">If you’re a buyer: prioritise credits with clear verification, preferably from systems with existing institutional recognition, and ask about buyer anonymity and reporting options. </w:t>
      </w:r>
      <w:r/>
    </w:p>
    <w:p>
      <w:pPr>
        <w:pStyle w:val="ListBullet"/>
        <w:spacing w:line="240" w:lineRule="auto"/>
        <w:ind w:left="720"/>
      </w:pPr>
      <w:r/>
      <w:r>
        <w:t xml:space="preserve">If you’re a developer: explore compliance-adjacent routes where local rules or registers exist , they often unlock familiar buyers and simpler sales paths. </w:t>
      </w:r>
      <w:r/>
    </w:p>
    <w:p>
      <w:pPr>
        <w:pStyle w:val="ListBullet"/>
        <w:spacing w:line="240" w:lineRule="auto"/>
        <w:ind w:left="720"/>
      </w:pPr>
      <w:r/>
      <w:r>
        <w:t>For both: treat biodiversity credits as one layer in a blended finance stack; most restoration needs multiple revenue streams to be sustainable.</w:t>
      </w:r>
      <w:r/>
      <w:r/>
    </w:p>
    <w:p>
      <w:r/>
      <w:r>
        <w:t>It’s a small change that can make every purchase add up to more predictable impact.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https://newsletter.bloomlabs.earth/p/monthly-market-overview-april-2026</w:t>
        </w:r>
      </w:hyperlink>
      <w:r>
        <w:t xml:space="preserve"> - Please view link - unable to able to access data</w:t>
      </w:r>
      <w:r/>
    </w:p>
    <w:p>
      <w:pPr>
        <w:pStyle w:val="ListNumber"/>
        <w:spacing w:line="240" w:lineRule="auto"/>
        <w:ind w:left="720"/>
      </w:pPr>
      <w:r/>
      <w:hyperlink r:id="rId10">
        <w:r>
          <w:rPr>
            <w:color w:val="0000EE"/>
            <w:u w:val="single"/>
          </w:rPr>
          <w:t>https://carbon-pulse.com/489959/</w:t>
        </w:r>
      </w:hyperlink>
      <w:r>
        <w:t xml:space="preserve"> - In February 2026, voluntary biodiversity credit transactions amounted to just $20,000 across five projects, with cumulative sales reaching an estimated $10 million. This indicates a significant slowdown in market activity compared to previous months, highlighting the need for increased buyer engagement and market development to sustain growth in the voluntary biodiversity credit sector.</w:t>
      </w:r>
      <w:r/>
    </w:p>
    <w:p>
      <w:pPr>
        <w:pStyle w:val="ListNumber"/>
        <w:spacing w:line="240" w:lineRule="auto"/>
        <w:ind w:left="720"/>
      </w:pPr>
      <w:r/>
      <w:hyperlink r:id="rId13">
        <w:r>
          <w:rPr>
            <w:color w:val="0000EE"/>
            <w:u w:val="single"/>
          </w:rPr>
          <w:t>https://www.carbon-direct.com/press/carbon-direct-releases-2026-state-of-the-voluntary-carbon-market-report</w:t>
        </w:r>
      </w:hyperlink>
      <w:r>
        <w:t xml:space="preserve"> - Carbon Direct's 2026 report reveals that the voluntary carbon market is at a critical juncture, with infrastructure and solutions ready to scale but buyer hesitation threatening essential carbon removal projects. The report emphasizes the need for decisive action from buyers to scale the market at the required speed, highlighting the urgency of addressing climate goals through carbon dioxide removal procurement.</w:t>
      </w:r>
      <w:r/>
    </w:p>
    <w:p>
      <w:pPr>
        <w:pStyle w:val="ListNumber"/>
        <w:spacing w:line="240" w:lineRule="auto"/>
        <w:ind w:left="720"/>
      </w:pPr>
      <w:r/>
      <w:hyperlink r:id="rId11">
        <w:r>
          <w:rPr>
            <w:color w:val="0000EE"/>
            <w:u w:val="single"/>
          </w:rPr>
          <w:t>https://www.grandviewresearch.com/industry-analysis/biodiversity-credit-market-report</w:t>
        </w:r>
      </w:hyperlink>
      <w:r>
        <w:t xml:space="preserve"> - The global biodiversity credit market was valued at $7.1 billion in 2025 and is projected to reach $38.0 billion by 2033, expanding at a CAGR of 23.3% from 2026 to 2033. This growth is driven by increasing global focus on biodiversity conservation, ecosystem restoration, and the integration of natural capital into financial systems, indicating a robust expansion in the sector.</w:t>
      </w:r>
      <w:r/>
    </w:p>
    <w:p>
      <w:pPr>
        <w:pStyle w:val="ListNumber"/>
        <w:spacing w:line="240" w:lineRule="auto"/>
        <w:ind w:left="720"/>
      </w:pPr>
      <w:r/>
      <w:hyperlink r:id="rId14">
        <w:r>
          <w:rPr>
            <w:color w:val="0000EE"/>
            <w:u w:val="single"/>
          </w:rPr>
          <w:t>https://www.green.earth/news/compliance-and-quality-redefine-carbon-credit-supply-in-q1-2026</w:t>
        </w:r>
      </w:hyperlink>
      <w:r>
        <w:t xml:space="preserve"> - In Q1 2026, the voluntary carbon market saw a shift towards compliance-linked supply, with buyers prioritizing quality over quantity. Data from Sylvera shows that credit retirements fell 8% year-on-year, reaching 51 million from 55.3 million in the same period of 2025. The average price per credit edged upward, indicating a market where fewer transactions are carrying greater individual weight.</w:t>
      </w:r>
      <w:r/>
    </w:p>
    <w:p>
      <w:pPr>
        <w:pStyle w:val="ListNumber"/>
        <w:spacing w:line="240" w:lineRule="auto"/>
        <w:ind w:left="720"/>
      </w:pPr>
      <w:r/>
      <w:hyperlink r:id="rId12">
        <w:r>
          <w:rPr>
            <w:color w:val="0000EE"/>
            <w:u w:val="single"/>
          </w:rPr>
          <w:t>https://www.ecosystemmarketplace.com/articles/vcm-demand-outlook-in-2026/</w:t>
        </w:r>
      </w:hyperlink>
      <w:r>
        <w:t xml:space="preserve"> - Ecosystem Marketplace's survey indicates that in 2026, buyer interest in the voluntary carbon market remains steady, with 63% of suppliers reporting unchanged interest compared to six months prior. However, only 6% of inquiries convert to deals, suggesting highly selective buyers and significant friction in the purchase pipeline. This highlights the need for improved market dynamics and buyer engagement strategies.</w:t>
      </w:r>
      <w:r/>
    </w:p>
    <w:p>
      <w:pPr>
        <w:pStyle w:val="ListNumber"/>
        <w:spacing w:line="240" w:lineRule="auto"/>
        <w:ind w:left="720"/>
      </w:pPr>
      <w:r/>
      <w:hyperlink r:id="rId15">
        <w:r>
          <w:rPr>
            <w:color w:val="0000EE"/>
            <w:u w:val="single"/>
          </w:rPr>
          <w:t>https://www.ourenergypolicy.org/resources/state-of-the-voluntary-carbon-market-2026/</w:t>
        </w:r>
      </w:hyperlink>
      <w:r>
        <w:t xml:space="preserve"> - The 'State of the Voluntary Carbon Market (2026)' report highlights the risk of stagnation in the voluntary carbon market, emphasizing the need for deep emissions reductions alongside rapid scale-up of carbon dioxide removal (CDR). The report underscores the critical role of the VCM in early CDR deployment and the necessity for organizations to address residual emissions through procurement to support climate 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letter.bloomlabs.earth/p/monthly-market-overview-april-2026" TargetMode="External"/><Relationship Id="rId10" Type="http://schemas.openxmlformats.org/officeDocument/2006/relationships/hyperlink" Target="https://carbon-pulse.com/489959/" TargetMode="External"/><Relationship Id="rId11" Type="http://schemas.openxmlformats.org/officeDocument/2006/relationships/hyperlink" Target="https://www.grandviewresearch.com/industry-analysis/biodiversity-credit-market-report" TargetMode="External"/><Relationship Id="rId12" Type="http://schemas.openxmlformats.org/officeDocument/2006/relationships/hyperlink" Target="https://www.ecosystemmarketplace.com/articles/vcm-demand-outlook-in-2026/" TargetMode="External"/><Relationship Id="rId13" Type="http://schemas.openxmlformats.org/officeDocument/2006/relationships/hyperlink" Target="https://www.carbon-direct.com/press/carbon-direct-releases-2026-state-of-the-voluntary-carbon-market-report" TargetMode="External"/><Relationship Id="rId14" Type="http://schemas.openxmlformats.org/officeDocument/2006/relationships/hyperlink" Target="https://www.green.earth/news/compliance-and-quality-redefine-carbon-credit-supply-in-q1-2026" TargetMode="External"/><Relationship Id="rId15" Type="http://schemas.openxmlformats.org/officeDocument/2006/relationships/hyperlink" Target="https://www.ourenergypolicy.org/resources/state-of-the-voluntary-carbon-marke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