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Court judgment exposes flaws in University of Sussex free speech protections under new legislation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High Court’s judgment in University of Sussex v the Office for Students has exposed more than a dispute over one university policy. It has also shown how fragile the current higher education free speech regime becomes when a regulator treats “within the law” as if it were the end of the story rather than the beginning of it. The Office for Students had argued that Sussex’s policy on trans and non-binary equality unlawfully captured lawful speech, but the court held that lawful expression can still be restricted where the restriction is justified, proportionate and prescribed by law. That matters because the Higher Education (Freedom of Speech) Act 2023 was sold as a way to make free speech protections stronger and more workable, not as a device for flattening all competing legal duties into a single absolutes-first test, as the government’s own policy paper made clear. </w:t>
      </w:r>
      <w:r/>
    </w:p>
    <w:p>
      <w:r/>
      <w:r>
        <w:t xml:space="preserve">The Sussex case has become a test of the deeper meaning of “freedom of speech within the law”, a phrase that reaches back to the Education (No. 2) Act 1986 and now sits at the centre of the modern statutory framework. The law imposes duties on universities to secure speech, but it does so alongside broader obligations under the Human Rights Act, the Equality Act and OfS’ own regulatory conditions. Cambridge’s guidance on the 2023 Act notes that providers must issue a code of practice and secure lawful speech for staff, students and visiting speakers, while the Act itself extends duties, creates new enforcement powers and establishes a complaints scheme and director role. In other words, the regime was always meant to manage tension, not pretend it did not exist. </w:t>
      </w:r>
      <w:r/>
    </w:p>
    <w:p>
      <w:r/>
      <w:r>
        <w:t xml:space="preserve">That is why the court’s rejection of the Office for Students’ approach is so significant. The regulator had treated the mere possibility that a policy could touch lawful speech as enough to prove a breach, without properly working through proportionality. The judge rejected that logic, holding that the lawful speech question, the duty to secure speech and the justification analysis are distinct steps that often collapse into the same factual inquiry. The court also accepted that Sussex’s own safeguarding and free speech materials already built in the correct Article 10 approach, which made the regulator’s insistence on breach all the harder to sustain. </w:t>
      </w:r>
      <w:r/>
    </w:p>
    <w:p>
      <w:r/>
      <w:r>
        <w:t xml:space="preserve">The broader politics of the case are just as revealing. The Free Speech Union has argued that the judgment strips the new regime of teeth, while commentators such as Spiked and Kathleen Stock have framed it as a defeat for those who wanted a tougher line on campus speech. But the court’s reasoning suggests the real problem was not softness. It was overreach. The OfS acted as though any institutional attempt to balance free expression against harassment, dignity or safety was inherently suspect, even though the statutory landscape expressly contemplates those competing duties. The Higher Education (Freedom of Speech) Act was designed to strengthen protections, not to erase proportionality from public law. </w:t>
      </w:r>
      <w:r/>
    </w:p>
    <w:p>
      <w:r/>
      <w:r>
        <w:t xml:space="preserve">That leaves ministers and the regulator with an awkward choice. According to the government’s own future-of-the-act paper, the reforms were supposed to create a framework that robustly protects speech while remaining workable in practice. Yet the Sussex judgment suggests the architecture may be too easy to misread in an absolutist direction, especially if the OfS continues to treat the presence of any lawful restriction as a breach in itself. If that approach survives, the next dispute will simply reproduce the same fault line under the newer section A1 duty, only with different facts and possibly heavier penalties. </w:t>
      </w:r>
      <w:r/>
    </w:p>
    <w:p>
      <w:r/>
      <w:r>
        <w:t xml:space="preserve">For universities, the practical lesson is less dramatic but more important. Codes of practice, safeguarding policies and equality measures do not need to be stripped back to the point of emptiness in order to comply with the law. What they need is precision: clear drafting, explicit reference to proportionality and a disciplined approach to conflicting duties. The Sussex litigation shows that a university can still be vulnerable if it drafts badly or applies policies too aggressively, but it also shows that regulators cannot simply assume that any restriction on expression is unlawful because the speech itself is lawful. </w:t>
      </w:r>
      <w:r/>
    </w:p>
    <w:p>
      <w:r/>
      <w:r>
        <w:t xml:space="preserve">The larger question is whether this version of the regime can ever be made stable by guidance alone. The current statute, with its director role, complaints scheme, enforcement powers and overlapping duties, was built to elevate free speech into a special regulatory lane. The Sussex judgment suggests that lane cannot function properly if the regulator refuses to recognise that other legal obligations run alongside it. That is why the case matters well beyond Sussex: it has become a warning that the structure itself may be pulling in two directions at once.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[4]</w:t>
        </w:r>
      </w:hyperlink>
      <w:r>
        <w:t xml:space="preserve">- Paragraph 6: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[5]</w:t>
        </w:r>
      </w:hyperlink>
      <w:r>
        <w:t xml:space="preserve">- Paragraph 7: </w:t>
      </w:r>
      <w:hyperlink r:id="rId12">
        <w:r>
          <w:rPr>
            <w:color w:val="0000EE"/>
            <w:u w:val="single"/>
          </w:rPr>
          <w:t>[4]</w:t>
        </w:r>
      </w:hyperlink>
      <w:r>
        <w:t xml:space="preserve">, </w:t>
      </w:r>
      <w:hyperlink r:id="rId13">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https://wonkhe.com/blogs/why-ofs-got-the-meaning-of-free-speech-within-the-law-absolutely-wrong/</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https://www.gov.uk/government/publications/the-future-of-the-higher-education-freedom-of-speech-act-2023</w:t>
        </w:r>
      </w:hyperlink>
      <w:r>
        <w:t xml:space="preserve"> - This government publication outlines plans to strengthen protections for academic freedom and freedom of speech at registered English higher education providers. It details measures such as reinforcing legal duties on higher education providers, requiring the Office for Students (OfS) to promote freedom of speech and academic freedom, and introducing a complaints scheme for staff and visiting speakers. The document also discusses the repeal of certain provisions, including the statutory tort, and the OfS's enhanced powers to monitor and enforce compliance. The publication aims to ensure that freedom of speech and academic freedom are robustly protected and genuinely workable within the higher education sector.</w:t>
      </w:r>
      <w:r/>
    </w:p>
    <w:p>
      <w:pPr>
        <w:pStyle w:val="ListNumber"/>
        <w:spacing w:line="240" w:lineRule="auto"/>
        <w:ind w:left="720"/>
      </w:pPr>
      <w:r/>
      <w:hyperlink r:id="rId11">
        <w:r>
          <w:rPr>
            <w:color w:val="0000EE"/>
            <w:u w:val="single"/>
          </w:rPr>
          <w:t>https://www.governanceandcompliance.admin.cam.ac.uk/policies-and-guidance/higher-education-freedom-speech-act-2023-overview</w:t>
        </w:r>
      </w:hyperlink>
      <w:r>
        <w:t xml:space="preserve"> - The University of Cambridge's Governance and Compliance Division provides an overview of the Higher Education (Freedom of Speech) Act 2023, effective from 1 August 2025. The Act imposes new free speech duties on universities and constituent colleges, building upon previous duties set out in the Education (No.2) Act 1986. Key provisions include universities' obligations to secure freedom of speech within the law for staff, students, and visiting speakers, and to issue a Code of Practice on freedom of speech. The document also outlines compliance mechanisms, consequences for non-compliance, and the University's preparations in response to the Act.</w:t>
      </w:r>
      <w:r/>
    </w:p>
    <w:p>
      <w:pPr>
        <w:pStyle w:val="ListNumber"/>
        <w:spacing w:line="240" w:lineRule="auto"/>
        <w:ind w:left="720"/>
      </w:pPr>
      <w:r/>
      <w:hyperlink r:id="rId12">
        <w:r>
          <w:rPr>
            <w:color w:val="0000EE"/>
            <w:u w:val="single"/>
          </w:rPr>
          <w:t>https://statutes.uk/higher-education-freedom-of-speech-act-2023</w:t>
        </w:r>
      </w:hyperlink>
      <w:r>
        <w:t xml:space="preserve"> - This source provides the full text of the Higher Education (Freedom of Speech) Act 2023, an Act of the Parliament of the United Kingdom. The Act imposes requirements for universities and students' unions to protect freedom of speech and academic freedom. It introduces a statutory tort enabling individuals to sue for compensation for losses suffered from an academic institution's failure to protect freedom of speech, extends universities' obligations to students' unions, and establishes the role of Director for Freedom of Speech and Academic Freedom. The Act also empowers the Office for Students to levy fines on infringing institutions and monitor cases of no-platforming and academic dismissals.</w:t>
      </w:r>
      <w:r/>
    </w:p>
    <w:p>
      <w:pPr>
        <w:pStyle w:val="ListNumber"/>
        <w:spacing w:line="240" w:lineRule="auto"/>
        <w:ind w:left="720"/>
      </w:pPr>
      <w:r/>
      <w:hyperlink r:id="rId14">
        <w:r>
          <w:rPr>
            <w:color w:val="0000EE"/>
            <w:u w:val="single"/>
          </w:rPr>
          <w:t>https://academic.oup.com/ilj/article/52/3/791/7239928</w:t>
        </w:r>
      </w:hyperlink>
      <w:r>
        <w:t xml:space="preserve"> - This article from the Industrial Law Journal provides an employment-focused overview of the Higher Education (Freedom of Speech) Act 2023. It examines the Act's provisions related to the management, discipline, and dismissal of staff, particularly academic staff, within registered higher education providers in England. The article concludes that the Act will significantly impact the employment relationship in this context, introducing specific provisions enforceable through a statutory tort and a complaints scheme, and influencing interpretations of the Employment Rights Act 1996 and the Equality Act 2010.</w:t>
      </w:r>
      <w:r/>
    </w:p>
    <w:p>
      <w:pPr>
        <w:pStyle w:val="ListNumber"/>
        <w:spacing w:line="240" w:lineRule="auto"/>
        <w:ind w:left="720"/>
      </w:pPr>
      <w:r/>
      <w:hyperlink r:id="rId13">
        <w:r>
          <w:rPr>
            <w:color w:val="0000EE"/>
            <w:u w:val="single"/>
          </w:rPr>
          <w:t>https://commonslibrary.parliament.uk/research-briefings/cbp-9295/</w:t>
        </w:r>
      </w:hyperlink>
      <w:r>
        <w:t xml:space="preserve"> - This briefing from the House of Commons Library analyses the progress of the Higher Education (Freedom of Speech) Bill, which received royal assent on 11 May 2023. The Bill implements legislative proposals included in a Department for Education policy paper published in February 2021, aiming to address concerns that freedom of speech is under threat across higher education. The briefing provides insights into the Bill's provisions, its legislative journey, and the implications for higher education institutions and students.</w:t>
      </w:r>
      <w:r/>
    </w:p>
    <w:p>
      <w:pPr>
        <w:pStyle w:val="ListNumber"/>
        <w:spacing w:line="240" w:lineRule="auto"/>
        <w:ind w:left="720"/>
      </w:pPr>
      <w:r/>
      <w:hyperlink r:id="rId15">
        <w:r>
          <w:rPr>
            <w:color w:val="0000EE"/>
            <w:u w:val="single"/>
          </w:rPr>
          <w:t>https://www.youtube.com/watch?v=wRkV4s4w9Ug</w:t>
        </w:r>
      </w:hyperlink>
      <w:r>
        <w:t xml:space="preserve"> - In this video, Toby Young, General Secretary of the Free Speech Union, discusses the campaign to rescue the Higher Education (Freedom of Speech) Act (HEFSA). He explains how the FSU's legal challenge led to government action on the Act, which was designed to strengthen universities' duties to uphold free speech on campus. The discussion covers the Act's provisions, the FSU's role in its revival, and the ongoing efforts to ensure robust protections for free speech and academic freedom in higher education.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onkhe.com/blogs/why-ofs-got-the-meaning-of-free-speech-within-the-law-absolutely-wrong/" TargetMode="External"/><Relationship Id="rId10" Type="http://schemas.openxmlformats.org/officeDocument/2006/relationships/hyperlink" Target="https://www.gov.uk/government/publications/the-future-of-the-higher-education-freedom-of-speech-act-2023" TargetMode="External"/><Relationship Id="rId11" Type="http://schemas.openxmlformats.org/officeDocument/2006/relationships/hyperlink" Target="https://www.governanceandcompliance.admin.cam.ac.uk/policies-and-guidance/higher-education-freedom-speech-act-2023-overview" TargetMode="External"/><Relationship Id="rId12" Type="http://schemas.openxmlformats.org/officeDocument/2006/relationships/hyperlink" Target="https://statutes.uk/higher-education-freedom-of-speech-act-2023" TargetMode="External"/><Relationship Id="rId13" Type="http://schemas.openxmlformats.org/officeDocument/2006/relationships/hyperlink" Target="https://commonslibrary.parliament.uk/research-briefings/cbp-9295/" TargetMode="External"/><Relationship Id="rId14" Type="http://schemas.openxmlformats.org/officeDocument/2006/relationships/hyperlink" Target="https://academic.oup.com/ilj/article/52/3/791/7239928" TargetMode="External"/><Relationship Id="rId15" Type="http://schemas.openxmlformats.org/officeDocument/2006/relationships/hyperlink" Target="https://www.youtube.com/watch?v=wRkV4s4w9U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