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taxpayers pay over £60,000 in compensation to HMP Birmingham inmates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Taxpayers in the UK have paid over £60,000 in compensation to inmates injured at HMP Birmingham in Winson Green over the past four years, according to recently released figures. The costs cover various incidents, including injuries resulting from altercations between prisoners, staff-on-prisoner injuries, and other forms of injuries, such as those caused by equipment or food contamination, with 2023 witnessing particularly high payouts.</w:t>
      </w:r>
    </w:p>
    <w:p>
      <w:r>
        <w:t xml:space="preserve">In 2023 alone, the Ministry of Justice (MoJ) disbursed approximately £32,259 in compensation claims, contributing to a total of £66,453.29 paid out from 2021 to 2024. The breakdown of the compensation claims shows that in 2021, the MoJ paid £10,000, which included £3,000 for prisoner-on-prisoner injuries, £4,000 for staff-on-prisoner injuries, and £3,000 labelled as 'other personal injury claims.' The following year saw a decline, with payouts dropping to £5,500, all attributed to prisoner-on-prisoner injuries. </w:t>
      </w:r>
    </w:p>
    <w:p>
      <w:r>
        <w:t xml:space="preserve">The significant surge in claims during 2023 prompted expressions of concern regarding prison conditions, with the MoJ addressing the issue of overcrowding and its effects on safety. In statements to BirminghamLive, the MoJ acknowledged the urgency of improving prison conditions to mitigate future compensation claims and ensure more efficient use of taxpayer funds. </w:t>
      </w:r>
    </w:p>
    <w:p>
      <w:r>
        <w:t xml:space="preserve">Chief Inspector of Prisons, Charlie Taylor, provided a positive assessment of HMP Birmingham in February 2023, noting it was "much safer and more decent" compared to a 2018 inspection, which highlighted severe issues such as rampant drug usage, staff corruption, and appalling living conditions. Despite improvements, Taylor underscored ongoing challenges, remarking, "Most [inmates] were unemployed and there were not enough spaces in education, training or work, which meant that many were spending up to 22.5 hours a day locked behind their doors." </w:t>
      </w:r>
    </w:p>
    <w:p>
      <w:r>
        <w:t>Lucy Parker, a solicitor with Legal Expert, commented on the issue, stating, “Prisoners, like anyone else, have a right to their safety while incarcerated.” She highlighted the various types of injuries that can occur within the prison environment and the importance of prisoners being able to seek compensation for injuries deemed to be a result of negligence, including accidents and inadequate safety measures.</w:t>
      </w:r>
    </w:p>
    <w:p>
      <w:r>
        <w:t>The MoJ has committed to enhancing prison maintenance and security and has indicated a willingness to hold prisoners accountable for violent actions against staff and other inmates. This focus on reform is part of a broader effort to address the structural issues facing an overcrowded prison system, which has reached alarming figures in recent years.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