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nationalises South Western Railways amid early service disruptions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British railway landscape is poised for significant transformation as Labour prepares to re-nationalise South Western Railways (SWR), marking a pivotal shift in the operation of the nation's train services. Set to take effect at 1:59am on Sunday, May 25, this nationalisation is a cornerstone of Labour's broader vision to integrate the entirety of Britain’s railway network under the newly established Great British Railways. However, the planned celebration of this historic rebranding has been somewhat marred by unanticipated engineering works that have led to cancellations of initial services.</w:t>
      </w:r>
      <w:r/>
    </w:p>
    <w:p>
      <w:r/>
      <w:r>
        <w:t>Travellers hoping to experience the inaugural journey of SWR under public ownership will be greeted instead by a rail replacement bus. Significant disruptions are not uncommon in the UK rail system, and the engineering works scheduled over the bank holiday period are set to complicate matters further. The initial train, departing from Guildford at 2:27am, has been cancelled, pushing passengers to rely on alternative transport. Despite this, trains from Woking are still selling tickets, although further delays are anticipated.</w:t>
      </w:r>
      <w:r/>
    </w:p>
    <w:p>
      <w:r/>
      <w:r>
        <w:t xml:space="preserve">Labour's strategy to revive the railways reflects an ambition to improve services and accountability. Following SWR’s transitional period under a Department for Transport subsidiary, control will eventually switch to Great British Railways, which is poised to coordinate both rail infrastructure and passenger experiences across the network. The announcement has been described as a watershed moment in the government’s rail policy, with Transport Secretary Heidi Alexander emphasising the goal of returning the rail network to serve the public better. </w:t>
      </w:r>
      <w:r/>
    </w:p>
    <w:p>
      <w:r/>
      <w:r>
        <w:t>The Labour party's plans extend beyond SWR, with the forthcoming nationalisation of other operators such as C2C and Greater Anglia in the upcoming months. This broad initiative seeks to comprehensively address issues of service quality and operational efficiency that have plagued the rail network for years, aiming for a cohesive and publicly accountable transport system. While critics may point to immediate service disruptions as indicative of deeper systemic problems within the rail infrastructure, proponents argue that public ownership is a necessary step toward ensuring sustainable and reliable train services throughout Britain.</w:t>
      </w:r>
      <w:r/>
    </w:p>
    <w:p>
      <w:r/>
      <w:r>
        <w:t>As the government navigates this transition, the challenge remains to manage public expectations amid these early teething problems. The success of this nationalisation effort could ultimately hinge on Labour’s ability to deliver on its promises, ensuring that the new structure addresses not only operational efficiency but also the longstanding concerns of passengers regarding reliability and service quality.</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https://www.express.co.uk/news/uk/2059242/labour-Great-British-Railways-swr-replacement-bus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242/labour-Great-British-Railways-swr-replacement-b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