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Unusual public indecency case in Cambusbarron sparks wider debate on community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court case in Cambusbarron has drawn attention due to its unusual circumstances involving public indecency. Hayley Cameron, a local resident, was caught performing a sexual act in her car on her own driveway in broad daylight. Neighbours observed the incident and reported it to the authorities, prompting police intervention. When questioned, Cameron expressed disbelief over the accusations, insisting that engaging in such an act would be inappropriate for her. “If I was going to do that, I would have done it in my house. I don’t give oral sex – it’s disgusting,” she stated. However, in court, she ultimately admitted to the charge of public indecency that occurred on 2 September 2023 and has since been placed on a 12-month supervision order.</w:t>
      </w:r>
      <w:r/>
    </w:p>
    <w:p>
      <w:r/>
      <w:r>
        <w:t>This incident has highlighted broader issues around public conduct and the legal ramifications of such behaviours, particularly in residential areas close to schools, thus raising public safety concerns. The stigma associated with public indecency is compounded by similar local cases involving sexual offences.</w:t>
      </w:r>
      <w:r/>
    </w:p>
    <w:p>
      <w:r/>
      <w:r>
        <w:t xml:space="preserve">In another alarming case, Andrew Strachan, a 52-year-old man from Drymen, has been placed on the sex offenders register after admitting to possessing hundreds of child abuse images. Strachan's case underscores a disturbing trend, as evidenced by the recent sentencing of Ewan Dillon, a former councillor, who received a similar punishment for possessing 58 indecent images of children. Both individuals faced severe consequences for their actions, including community service and supervision orders, highlighting the judicial system's efforts to deter such heinous crimes. </w:t>
      </w:r>
      <w:r/>
    </w:p>
    <w:p>
      <w:r/>
      <w:r>
        <w:t xml:space="preserve">The legal landscape for offenders in these contexts has become notably stringent. According to reportings from the local media, individuals engaged in such offences often face not only immediate penalties but also a lasting societal stigma. This was evident in public reactions during Strachan's sentencing, where he was met with shouts of "beast" as he left the court. </w:t>
      </w:r>
      <w:r/>
    </w:p>
    <w:p>
      <w:r/>
      <w:r>
        <w:t>Moreover, domestic violence incidents are also stark reminders of the challenges faced by communities in dealing with abusive behaviours. For example, Darren Monaghan's threatening behaviour towards his ex-partner on Valentine's Day reflects a distressing episode of harassment, showing how personal relationships can escalate into violence. Monaghan was given a supervision order and a non-harassment order, indicative of the legal system's approach to managing cases of domestic abuse.</w:t>
      </w:r>
      <w:r/>
    </w:p>
    <w:p>
      <w:r/>
      <w:r>
        <w:t>In the broader context, these cases highlight not only individual misconduct but also systemic issues involving public safety, community welfare, and the need for consistent legal responses. As the community grapples with these incidents, it raises questions about preventive measures and resources necessary to combat such behaviours, ensuring a safe environment for residents, especially children.</w:t>
      </w:r>
      <w:r/>
    </w:p>
    <w:p>
      <w:r/>
      <w:r>
        <w:t xml:space="preserve">The situation in Stirling serves as a sobering reminder of the various facets of public and private conduct within communities and the significant legal ramifications that can arise from a wide spectrum of antisocial behaviours.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https://www.thecourier.co.uk/fp/news/courts/5242935/stirling-round-up-driveway-sex-act/</w:t>
        </w:r>
      </w:hyperlink>
      <w:r>
        <w:t xml:space="preserve"> - Please view link - unable to able to access data</w:t>
      </w:r>
      <w:r/>
    </w:p>
    <w:p>
      <w:pPr>
        <w:pStyle w:val="ListNumber"/>
        <w:spacing w:line="240" w:lineRule="auto"/>
        <w:ind w:left="720"/>
      </w:pPr>
      <w:r/>
      <w:hyperlink r:id="rId10">
        <w:r>
          <w:rPr>
            <w:color w:val="0000EE"/>
            <w:u w:val="single"/>
          </w:rPr>
          <w:t>https://www.scottishlegal.com/articles/former-councillor-sentenced-over-indecent-images-of-children</w:t>
        </w:r>
      </w:hyperlink>
      <w:r>
        <w:t xml:space="preserve"> - Ewan Dillon, a former councillor, was sentenced for possessing 58 indecent images of children aged between five and 15. The images, ranging from categories A to C, were created between October 2021 and February 2022. Dillon admitted to taking or permitting the taking of these images and was ordered to perform 270 hours of unpaid work within 12 months, placed under supervision for two years, and added to the sex offenders register for five years. The case highlights the serious legal consequences of possessing such material.</w:t>
      </w:r>
      <w:r/>
    </w:p>
    <w:p>
      <w:pPr>
        <w:pStyle w:val="ListNumber"/>
        <w:spacing w:line="240" w:lineRule="auto"/>
        <w:ind w:left="720"/>
      </w:pPr>
      <w:r/>
      <w:hyperlink r:id="rId11">
        <w:r>
          <w:rPr>
            <w:color w:val="0000EE"/>
            <w:u w:val="single"/>
          </w:rPr>
          <w:t>https://www.bbc.com/news/uk-scotland-tayside-central-40176219</w:t>
        </w:r>
      </w:hyperlink>
      <w:r>
        <w:t xml:space="preserve"> - Stewart Forgie, a 66-year-old man, admitted to downloading over 2,100 videos and nearly 200,000 photographs depicting child abuse. The material, downloaded between June 2008 and June 2016, included images of children as young as two. Forgie was placed on the sex offenders register ahead of sentencing at Stirling Sheriff Court in July. The case underscores the severe legal repercussions for individuals involved in the distribution and possession of child exploitation material.</w:t>
      </w:r>
      <w:r/>
    </w:p>
    <w:p>
      <w:pPr>
        <w:pStyle w:val="ListNumber"/>
        <w:spacing w:line="240" w:lineRule="auto"/>
        <w:ind w:left="720"/>
      </w:pPr>
      <w:r/>
      <w:hyperlink r:id="rId14">
        <w:r>
          <w:rPr>
            <w:color w:val="0000EE"/>
            <w:u w:val="single"/>
          </w:rPr>
          <w:t>https://law.justia.com/cases/federal/appellate-courts/ca4/19-3/19-3-2021-12-20.html</w:t>
        </w:r>
      </w:hyperlink>
      <w:r>
        <w:t xml:space="preserve"> - In the case of Mahdi v. Stirling, the Fourth Circuit Court of Appeals discussed the importance of defense counsel investigating and presenting evidence of childhood abuse in capital defense cases. The court emphasized that trial counsel's failure to uncover such evidence, despite its potential impact on the defendant's development and behavior, was a significant oversight. This case highlights the critical role of comprehensive defense strategies in capital cases.</w:t>
      </w:r>
      <w:r/>
    </w:p>
    <w:p>
      <w:pPr>
        <w:pStyle w:val="ListNumber"/>
        <w:spacing w:line="240" w:lineRule="auto"/>
        <w:ind w:left="720"/>
      </w:pPr>
      <w:r/>
      <w:hyperlink r:id="rId15">
        <w:r>
          <w:rPr>
            <w:color w:val="0000EE"/>
            <w:u w:val="single"/>
          </w:rPr>
          <w:t>https://law.justia.com/cases/federal/appellate-courts/ca4/20-3/20-3-2021-05-05.html</w:t>
        </w:r>
      </w:hyperlink>
      <w:r>
        <w:t xml:space="preserve"> - Gary Terry v. Bryan Stirling involved the Fourth Circuit Court of Appeals addressing the adequacy of defense counsel in presenting mitigating evidence of childhood abuse during sentencing. The court noted that the lack of such evidence, despite its potential to influence sentencing, was a serious concern. This case underscores the necessity for defense teams to thoroughly investigate and present all relevant mitigating factors in capital cases.</w:t>
      </w:r>
      <w:r/>
    </w:p>
    <w:p>
      <w:pPr>
        <w:pStyle w:val="ListNumber"/>
        <w:spacing w:line="240" w:lineRule="auto"/>
        <w:ind w:left="720"/>
      </w:pPr>
      <w:r/>
      <w:hyperlink r:id="rId12">
        <w:r>
          <w:rPr>
            <w:color w:val="0000EE"/>
            <w:u w:val="single"/>
          </w:rPr>
          <w:t>https://law.justia.com/cases/texas/second-court-of-appeals/2024/02-23-00367-cv.html</w:t>
        </w:r>
      </w:hyperlink>
      <w:r>
        <w:t xml:space="preserve"> - In the case of In the Interest of H.S., B.S., and M.S., Children, the Texas Court of Appeals examined the impact of a father's history of domestic violence and threats on child custody decisions. The court considered the mother's fear for her safety and the safety of the children, highlighting the importance of addressing domestic violence in custody determinations to ensure the well-being of the children involved.</w:t>
      </w:r>
      <w:r/>
    </w:p>
    <w:p>
      <w:pPr>
        <w:pStyle w:val="ListNumber"/>
        <w:spacing w:line="240" w:lineRule="auto"/>
        <w:ind w:left="720"/>
      </w:pPr>
      <w:r/>
      <w:hyperlink r:id="rId16">
        <w:r>
          <w:rPr>
            <w:color w:val="0000EE"/>
            <w:u w:val="single"/>
          </w:rPr>
          <w:t>https://casetext.com/case/people-v-esterline</w:t>
        </w:r>
      </w:hyperlink>
      <w:r>
        <w:t xml:space="preserve"> - People v. Esterline is an Illinois appellate court case where the defendant's conviction for indecent liberties was reversed and remanded for a new trial. The court found that the trial court erred in excluding evidence of other offenses that could have been relevant to the defendant's intent. This case illustrates the complexities of evidentiary rulings in sexual offense cases and the importance of a fair trial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42935/stirling-round-up-driveway-sex-act/" TargetMode="External"/><Relationship Id="rId10" Type="http://schemas.openxmlformats.org/officeDocument/2006/relationships/hyperlink" Target="https://www.scottishlegal.com/articles/former-councillor-sentenced-over-indecent-images-of-children" TargetMode="External"/><Relationship Id="rId11" Type="http://schemas.openxmlformats.org/officeDocument/2006/relationships/hyperlink" Target="https://www.bbc.com/news/uk-scotland-tayside-central-40176219" TargetMode="External"/><Relationship Id="rId12" Type="http://schemas.openxmlformats.org/officeDocument/2006/relationships/hyperlink" Target="https://law.justia.com/cases/texas/second-court-of-appeals/2024/02-23-00367-cv.html" TargetMode="External"/><Relationship Id="rId13" Type="http://schemas.openxmlformats.org/officeDocument/2006/relationships/hyperlink" Target="https://www.noahwire.com" TargetMode="External"/><Relationship Id="rId14" Type="http://schemas.openxmlformats.org/officeDocument/2006/relationships/hyperlink" Target="https://law.justia.com/cases/federal/appellate-courts/ca4/19-3/19-3-2021-12-20.html" TargetMode="External"/><Relationship Id="rId15" Type="http://schemas.openxmlformats.org/officeDocument/2006/relationships/hyperlink" Target="https://law.justia.com/cases/federal/appellate-courts/ca4/20-3/20-3-2021-05-05.html" TargetMode="External"/><Relationship Id="rId16" Type="http://schemas.openxmlformats.org/officeDocument/2006/relationships/hyperlink" Target="https://casetext.com/case/people-v-ester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