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workers earning the real Living Wage to see significant pay boost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Almost half a million workers across the UK who receive the voluntary real Living Wage are set to benefit from a significant pay rise next year. The Living Wage Foundation recently announced an increase in the hourly rate by 85p to £13.45 nationally, and by 95p to £14.80 within London, representing rises of approximately 6.7% and 6.9% respectively. These updated rates, designed to reflect the increasing cost of living, will likely take effect from April 2026. This pay boost means a full-time employee earning the greater Living Wage will bring home £2,418 more annually than someone on the government’s National Minimum Wage, with London workers gaining an extra £5,050 each year.</w:t>
      </w:r>
      <w:r/>
    </w:p>
    <w:p>
      <w:r/>
      <w:r>
        <w:t>The real Living Wage differs from the government’s National Living Wage, which is a legal minimum wage for workers aged 21 and over. It is independently calculated by the Living Wage Foundation based explicitly on the costs of everyday life, including rent, food, and bills, aiming to provide workers with a wage that meets actual living expenses. Eligibility for the London Living Wage applies to everyone aged 18 and older whose employers are accredited by the Living Wage Foundation, which currently certifies more than 16,000 organisations across the UK. This figure has grown steadily, with around 2,500 new employers joining the scheme in the past year, encompassing major names like IKEA, Everton FC, and Aviva.</w:t>
      </w:r>
      <w:r/>
    </w:p>
    <w:p>
      <w:r/>
      <w:r>
        <w:t>Accredited employers commit not only to paying their staff at least the real Living Wage but also to ensuring that third-party contractors, such as cleaners and security personnel, receive these rates. This approach addresses pay inequalities beyond direct employees and helps combat in-work poverty, an issue affecting 4.5 million low-paid workers in the UK today. Katherine Chapman, Executive Director of the Living Wage Foundation, emphasises that the new rates provide essential support to workers struggling with escalating living costs, underscoring the Foundation’s mission to promote fair pay as a response to economic challenges.</w:t>
      </w:r>
      <w:r/>
    </w:p>
    <w:p>
      <w:r/>
      <w:r>
        <w:t>The importance of this commitment to fair pay is echoed by voices in both the business community and labour unions. Muniya Barua, Deputy Chief Executive at BusinessLDN, highlights that paying the London Living Wage can offer businesses a competitive advantage by improving staff retention and recruitment, as well as strengthening bids for new contracts. However, she also cautions that upcoming government decisions, such as the Autumn Budget, must avoid adding financial burdens on businesses at a time when they are striving to support their workforce. Meanwhile, Unison’s General Secretary Christina McAnea insists the government has a responsibility to ensure public service workers, many of whom earn below this threshold, are properly compensated. She warns that without fair pay increases, vital sectors such as the NHS risk losing lower-paid staff like porters and cleaners to better-paying roles in retail and other industries.</w:t>
      </w:r>
      <w:r/>
    </w:p>
    <w:p>
      <w:r/>
      <w:r>
        <w:t>This recent rate adjustment forms part of a broader trend toward recognising the true cost of living in the UK. The Living Wage Foundation’s accreditation carries reputational benefits and is linked with improved human resources outcomes for employers, further encouraging companies to adopt these higher pay standards. Campaigns like "Making London a Living Wage City," organised by Citizens UK and Trust for London, aim to channel hundreds of millions of pounds into London’s low-wage sectors by motivating employers to pay the real Living Wage. The initiative reflects a growing movement to tackle in-work poverty and ensure wages align with the realities of living costs, making substantial efforts to help workers live with greater security and stability.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Living Wage Foundation </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Living Wage Foundation, </w:t>
      </w:r>
      <w:hyperlink r:id="rId11">
        <w:r>
          <w:rPr>
            <w:color w:val="0000EE"/>
            <w:u w:val="single"/>
          </w:rPr>
          <w:t>[4]</w:t>
        </w:r>
      </w:hyperlink>
      <w:r>
        <w:t xml:space="preserve"> Living Wage Foundation FAQs </w:t>
      </w:r>
      <w:r/>
    </w:p>
    <w:p>
      <w:pPr>
        <w:pStyle w:val="ListBullet"/>
        <w:spacing w:line="240" w:lineRule="auto"/>
        <w:ind w:left="720"/>
      </w:pPr>
      <w:r/>
      <w:r>
        <w:t xml:space="preserve">Paragraph 3 – </w:t>
      </w:r>
      <w:hyperlink r:id="rId9">
        <w:r>
          <w:rPr>
            <w:color w:val="0000EE"/>
            <w:u w:val="single"/>
          </w:rPr>
          <w:t>[1]</w:t>
        </w:r>
      </w:hyperlink>
      <w:r>
        <w:t xml:space="preserve"> MyLondon, </w:t>
      </w:r>
      <w:hyperlink r:id="rId12">
        <w:r>
          <w:rPr>
            <w:color w:val="0000EE"/>
            <w:u w:val="single"/>
          </w:rPr>
          <w:t>[3]</w:t>
        </w:r>
      </w:hyperlink>
      <w:r>
        <w:t xml:space="preserve"> Living Wage Foundation Accreditation </w:t>
      </w:r>
      <w:r/>
    </w:p>
    <w:p>
      <w:pPr>
        <w:pStyle w:val="ListBullet"/>
        <w:spacing w:line="240" w:lineRule="auto"/>
        <w:ind w:left="720"/>
      </w:pPr>
      <w:r/>
      <w:r>
        <w:t xml:space="preserve">Paragraph 4 – </w:t>
      </w:r>
      <w:hyperlink r:id="rId9">
        <w:r>
          <w:rPr>
            <w:color w:val="0000EE"/>
            <w:u w:val="single"/>
          </w:rPr>
          <w:t>[1]</w:t>
        </w:r>
      </w:hyperlink>
      <w:r>
        <w:t xml:space="preserve"> MyLondon, </w:t>
      </w:r>
      <w:hyperlink r:id="rId10">
        <w:r>
          <w:rPr>
            <w:color w:val="0000EE"/>
            <w:u w:val="single"/>
          </w:rPr>
          <w:t>[2]</w:t>
        </w:r>
      </w:hyperlink>
      <w:r>
        <w:t xml:space="preserve"> Living Wage Foundation, </w:t>
      </w:r>
      <w:hyperlink r:id="rId13">
        <w:r>
          <w:rPr>
            <w:color w:val="0000EE"/>
            <w:u w:val="single"/>
          </w:rPr>
          <w:t>[7]</w:t>
        </w:r>
      </w:hyperlink>
      <w:r>
        <w:t xml:space="preserve"> Citizens UK </w:t>
      </w:r>
      <w:r/>
    </w:p>
    <w:p>
      <w:pPr>
        <w:pStyle w:val="ListBullet"/>
        <w:spacing w:line="240" w:lineRule="auto"/>
        <w:ind w:left="720"/>
      </w:pPr>
      <w:r/>
      <w:r>
        <w:t xml:space="preserve">Paragraph 5 – </w:t>
      </w:r>
      <w:hyperlink r:id="rId9">
        <w:r>
          <w:rPr>
            <w:color w:val="0000EE"/>
            <w:u w:val="single"/>
          </w:rPr>
          <w:t>[1]</w:t>
        </w:r>
      </w:hyperlink>
      <w:r>
        <w:t xml:space="preserve"> MyLondon, </w:t>
      </w:r>
      <w:hyperlink r:id="rId10">
        <w:r>
          <w:rPr>
            <w:color w:val="0000EE"/>
            <w:u w:val="single"/>
          </w:rPr>
          <w:t>[2]</w:t>
        </w:r>
      </w:hyperlink>
      <w:r>
        <w:t xml:space="preserve"> Living Wage Foundation, </w:t>
      </w:r>
      <w:hyperlink r:id="rId14">
        <w:r>
          <w:rPr>
            <w:color w:val="0000EE"/>
            <w:u w:val="single"/>
          </w:rPr>
          <w:t>[6]</w:t>
        </w:r>
      </w:hyperlink>
      <w:r>
        <w:t xml:space="preserve"> Living Wage Foundation Accredited Employers </w:t>
      </w:r>
      <w:r/>
    </w:p>
    <w:p>
      <w:pPr>
        <w:pStyle w:val="ListBullet"/>
        <w:spacing w:line="240" w:lineRule="auto"/>
        <w:ind w:left="720"/>
      </w:pPr>
      <w:r/>
      <w:r>
        <w:t xml:space="preserve">Paragraph 6 – </w:t>
      </w:r>
      <w:hyperlink r:id="rId9">
        <w:r>
          <w:rPr>
            <w:color w:val="0000EE"/>
            <w:u w:val="single"/>
          </w:rPr>
          <w:t>[1]</w:t>
        </w:r>
      </w:hyperlink>
      <w:r>
        <w:t xml:space="preserve"> MyLondon, </w:t>
      </w:r>
      <w:hyperlink r:id="rId10">
        <w:r>
          <w:rPr>
            <w:color w:val="0000EE"/>
            <w:u w:val="single"/>
          </w:rPr>
          <w:t>[2]</w:t>
        </w:r>
      </w:hyperlink>
      <w:r>
        <w:t xml:space="preserve"> Living Wage Foundation, </w:t>
      </w:r>
      <w:hyperlink r:id="rId13">
        <w:r>
          <w:rPr>
            <w:color w:val="0000EE"/>
            <w:u w:val="single"/>
          </w:rPr>
          <w:t>[7]</w:t>
        </w:r>
      </w:hyperlink>
      <w:r>
        <w:t xml:space="preserve"> Citizens UK</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https://www.mylondon.news/news/uk-world-news/exact-amount-london-living-wage-32720057</w:t>
        </w:r>
      </w:hyperlink>
      <w:r>
        <w:t xml:space="preserve"> - Please view link - unable to able to access data</w:t>
      </w:r>
      <w:r/>
    </w:p>
    <w:p>
      <w:pPr>
        <w:pStyle w:val="ListNumber"/>
        <w:spacing w:line="240" w:lineRule="auto"/>
        <w:ind w:left="720"/>
      </w:pPr>
      <w:r/>
      <w:hyperlink r:id="rId10">
        <w:r>
          <w:rPr>
            <w:color w:val="0000EE"/>
            <w:u w:val="single"/>
          </w:rPr>
          <w:t>https://www.livingwage.org.uk/news/real-living-wage-rates-increase-£1345-uk-and-£1480-london</w:t>
        </w:r>
      </w:hyperlink>
      <w:r>
        <w:t xml:space="preserve"> - On 22 October 2025, the Living Wage Foundation announced an increase in the real Living Wage rates: £13.45 per hour across the UK (an 85p or 6.7% rise) and £14.80 per hour in London (a 95p or 6.9% rise). This adjustment will benefit nearly half a million workers employed by over 16,000 accredited employers, including notable companies like IKEA, Everton FC, and Aviva. The real Living Wage is independently calculated based on the actual cost of living, differing from the government's National Living Wage, which is the legal minimum employers must pay to workers aged 21 and over. The new rates are set to take effect in April 2026, providing a significant pay boost to workers in the UK and London. (</w:t>
      </w:r>
      <w:hyperlink r:id="rId16">
        <w:r>
          <w:rPr>
            <w:color w:val="0000EE"/>
            <w:u w:val="single"/>
          </w:rPr>
          <w:t>livingwage.org.uk</w:t>
        </w:r>
      </w:hyperlink>
      <w:r>
        <w:t>)</w:t>
      </w:r>
      <w:r/>
    </w:p>
    <w:p>
      <w:pPr>
        <w:pStyle w:val="ListNumber"/>
        <w:spacing w:line="240" w:lineRule="auto"/>
        <w:ind w:left="720"/>
      </w:pPr>
      <w:r/>
      <w:hyperlink r:id="rId12">
        <w:r>
          <w:rPr>
            <w:color w:val="0000EE"/>
            <w:u w:val="single"/>
          </w:rPr>
          <w:t>https://www.livingwage.org.uk/accredit</w:t>
        </w:r>
      </w:hyperlink>
      <w:r>
        <w:t xml:space="preserve"> - The Living Wage Foundation offers accreditation to employers who commit to paying the real Living Wage, which is calculated based on the actual cost of living. As of May 2025, over 16,000 UK employers have been accredited, including prominent organisations such as IKEA, Fred Perry, and Aviva. This accreditation signifies a commitment to fair pay and has been associated with benefits like improved reputation and human resources outcomes for businesses. The real Living Wage rates for 2024-25 were announced on 23 October 2024, with employers given six months to implement them by 1 May 2025. (</w:t>
      </w:r>
      <w:hyperlink r:id="rId17">
        <w:r>
          <w:rPr>
            <w:color w:val="0000EE"/>
            <w:u w:val="single"/>
          </w:rPr>
          <w:t>livingwage.org.uk</w:t>
        </w:r>
      </w:hyperlink>
      <w:r>
        <w:t>)</w:t>
      </w:r>
      <w:r/>
    </w:p>
    <w:p>
      <w:pPr>
        <w:pStyle w:val="ListNumber"/>
        <w:spacing w:line="240" w:lineRule="auto"/>
        <w:ind w:left="720"/>
      </w:pPr>
      <w:r/>
      <w:hyperlink r:id="rId11">
        <w:r>
          <w:rPr>
            <w:color w:val="0000EE"/>
            <w:u w:val="single"/>
          </w:rPr>
          <w:t>https://www.livingwage.org.uk/faqs</w:t>
        </w:r>
      </w:hyperlink>
      <w:r>
        <w:t xml:space="preserve"> - The Living Wage Foundation provides a comprehensive FAQ section addressing common questions about the real Living Wage. Key points include the distinction between the real Living Wage and the government's National Living Wage, with the former being independently calculated based on the actual cost of living and the latter being the legal minimum employers must pay to workers aged 21 and over. The real Living Wage applies to all workers aged 18 and over, and as of 1 April 2025, the National Living Wage is £12.21 per hour, which is £760 per year short of the real Living Wage. (</w:t>
      </w:r>
      <w:hyperlink r:id="rId18">
        <w:r>
          <w:rPr>
            <w:color w:val="0000EE"/>
            <w:u w:val="single"/>
          </w:rPr>
          <w:t>livingwage.org.uk</w:t>
        </w:r>
      </w:hyperlink>
      <w:r>
        <w:t>)</w:t>
      </w:r>
      <w:r/>
    </w:p>
    <w:p>
      <w:pPr>
        <w:pStyle w:val="ListNumber"/>
        <w:spacing w:line="240" w:lineRule="auto"/>
        <w:ind w:left="720"/>
      </w:pPr>
      <w:r/>
      <w:hyperlink r:id="rId19">
        <w:r>
          <w:rPr>
            <w:color w:val="0000EE"/>
            <w:u w:val="single"/>
          </w:rPr>
          <w:t>https://www.livingwage.org.uk/</w:t>
        </w:r>
      </w:hyperlink>
      <w:r>
        <w:t xml:space="preserve"> - The Living Wage Foundation is a UK-based campaigning organisation established in 2011, aiming to persuade employers to pay a living wage. It publishes an annual Living Wage figure and accredits employers who pay at the rate of the 'living wage'. As of October 2024, the real Living Wage increased to £12.60 per hour in the UK and £13.85 per hour in London. The Foundation has accredited over 16,000 UK employers, including half of the FTSE 100 and big household names such as Nationwide, Google, LUSH, Everton FC, and Chelsea FC, as well as thousands of SMEs. (</w:t>
      </w:r>
      <w:hyperlink r:id="rId20">
        <w:r>
          <w:rPr>
            <w:color w:val="0000EE"/>
            <w:u w:val="single"/>
          </w:rPr>
          <w:t>livingwage.org.uk</w:t>
        </w:r>
      </w:hyperlink>
      <w:r>
        <w:t>)</w:t>
      </w:r>
      <w:r/>
    </w:p>
    <w:p>
      <w:pPr>
        <w:pStyle w:val="ListNumber"/>
        <w:spacing w:line="240" w:lineRule="auto"/>
        <w:ind w:left="720"/>
      </w:pPr>
      <w:r/>
      <w:hyperlink r:id="rId14">
        <w:r>
          <w:rPr>
            <w:color w:val="0000EE"/>
            <w:u w:val="single"/>
          </w:rPr>
          <w:t>https://www.livingwage.org.uk/accredited-living-wage-employers</w:t>
        </w:r>
      </w:hyperlink>
      <w:r>
        <w:t xml:space="preserve"> - The Living Wage Foundation maintains a list of accredited Living Wage Employers who have committed to paying their staff according to the cost of living. As of May 2025, over 16,000 UK employers have been accredited, including organisations like the National Theatre, Queen’s University Belfast, and Barts NHS Trust. This accreditation signifies a commitment to fair pay and has been associated with benefits like improved reputation and human resources outcomes for businesses. The real Living Wage rates for 2024-25 were announced on 23 October 2024, with employers given six months to implement them by 1 May 2025. (</w:t>
      </w:r>
      <w:hyperlink r:id="rId21">
        <w:r>
          <w:rPr>
            <w:color w:val="0000EE"/>
            <w:u w:val="single"/>
          </w:rPr>
          <w:t>dev.livingwage.org.uk</w:t>
        </w:r>
      </w:hyperlink>
      <w:r>
        <w:t>)</w:t>
      </w:r>
      <w:r/>
    </w:p>
    <w:p>
      <w:pPr>
        <w:pStyle w:val="ListNumber"/>
        <w:spacing w:line="240" w:lineRule="auto"/>
        <w:ind w:left="720"/>
      </w:pPr>
      <w:r/>
      <w:hyperlink r:id="rId13">
        <w:r>
          <w:rPr>
            <w:color w:val="0000EE"/>
            <w:u w:val="single"/>
          </w:rPr>
          <w:t>https://www.citizensuk.org/campaigns/making-london-a-living-wage-city/</w:t>
        </w:r>
      </w:hyperlink>
      <w:r>
        <w:t xml:space="preserve"> - The 'Making London a Living Wage City' campaign, launched by Citizens UK and Trust for London, aims to put £635 million of wages back into the pockets of low-wage workers in London. The campaign seeks to identify low-pay sectors and employers and encourage them to accredit with the Living Wage Foundation and commit to paying the real Living Wage. This initiative is part of a broader effort to tackle in-work poverty and ensure that all workers in London earn a wage that meets the cost of living. (</w:t>
      </w:r>
      <w:hyperlink r:id="rId22">
        <w:r>
          <w:rPr>
            <w:color w:val="0000EE"/>
            <w:u w:val="single"/>
          </w:rPr>
          <w:t>citizensuk.org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uk-world-news/exact-amount-london-living-wage-32720057" TargetMode="External"/><Relationship Id="rId10" Type="http://schemas.openxmlformats.org/officeDocument/2006/relationships/hyperlink" Target="https://www.livingwage.org.uk/news/real-living-wage-rates-increase-&#163;1345-uk-and-&#163;1480-london" TargetMode="External"/><Relationship Id="rId11" Type="http://schemas.openxmlformats.org/officeDocument/2006/relationships/hyperlink" Target="https://www.livingwage.org.uk/faqs" TargetMode="External"/><Relationship Id="rId12" Type="http://schemas.openxmlformats.org/officeDocument/2006/relationships/hyperlink" Target="https://www.livingwage.org.uk/accredit" TargetMode="External"/><Relationship Id="rId13" Type="http://schemas.openxmlformats.org/officeDocument/2006/relationships/hyperlink" Target="https://www.citizensuk.org/campaigns/making-london-a-living-wage-city/" TargetMode="External"/><Relationship Id="rId14" Type="http://schemas.openxmlformats.org/officeDocument/2006/relationships/hyperlink" Target="https://www.livingwage.org.uk/accredited-living-wage-employers" TargetMode="External"/><Relationship Id="rId15" Type="http://schemas.openxmlformats.org/officeDocument/2006/relationships/hyperlink" Target="https://www.noahwire.com" TargetMode="External"/><Relationship Id="rId16" Type="http://schemas.openxmlformats.org/officeDocument/2006/relationships/hyperlink" Target="https://www.livingwage.org.uk/news/real-living-wage-rates-increase-%C2%A31345-uk-and-%C2%A31480-london?utm_source=openai" TargetMode="External"/><Relationship Id="rId17" Type="http://schemas.openxmlformats.org/officeDocument/2006/relationships/hyperlink" Target="https://www.livingwage.org.uk/accredit?utm_source=openai" TargetMode="External"/><Relationship Id="rId18" Type="http://schemas.openxmlformats.org/officeDocument/2006/relationships/hyperlink" Target="https://www.livingwage.org.uk/faqs?utm_source=openai" TargetMode="External"/><Relationship Id="rId19" Type="http://schemas.openxmlformats.org/officeDocument/2006/relationships/hyperlink" Target="https://www.livingwage.org.uk/" TargetMode="External"/><Relationship Id="rId20" Type="http://schemas.openxmlformats.org/officeDocument/2006/relationships/hyperlink" Target="https://www.livingwage.org.uk/?utm_source=openai" TargetMode="External"/><Relationship Id="rId21" Type="http://schemas.openxmlformats.org/officeDocument/2006/relationships/hyperlink" Target="https://dev.livingwage.org.uk/accredited-living-wage-employers?utm_source=openai" TargetMode="External"/><Relationship Id="rId22" Type="http://schemas.openxmlformats.org/officeDocument/2006/relationships/hyperlink" Target="https://www.citizensuk.org/campaigns/making-london-a-living-wage-c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