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homeless families face long stays in unsuitable towns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boroughs are increasingly using towns outside the capital—such as those in Essex, Kent, Berkshire, Surrey, and Hertfordshire—to house homeless families due to the ongoing housing crisis and financial pressures. This practice, which involves converting disused office blocks into temporary accommodation, is causing significant strain on the host communities and creating difficult living conditions for the families involved.</w:t>
      </w:r>
      <w:r/>
    </w:p>
    <w:p>
      <w:r/>
      <w:r>
        <w:t>One poignant example is Templefields House in Harlow, Essex, a former office building repurposed to accommodate families displaced by London borough councils. Chiara Repetti, a single mother of two, described living there as akin to being in a prison. She was moved to Harlow by Lewisham Council after refusing a single hotel room in Croydon, with the council telling her she might remain in Harlow for up to four years. Chiara and others in similar situations feel isolated, cut off from their support networks, and subjected to unsafe environments amid reports of antisocial behaviour, including drug dealing and violence. These concerns were echoed in a 2020 BBC Panorama investigation that labelled Templefields House a “human warehouse,” highlighting serious safety and sanitation issues. Some residents recount harrowing experiences, with one mother reporting a sexual assault and witnessing a stabbing outside her window, underscoring the perilous environment many face.</w:t>
      </w:r>
      <w:r/>
    </w:p>
    <w:p>
      <w:r/>
      <w:r>
        <w:t>Families placed in these locations often have long commutes back to their original homes, which are costly and arduous. For instance, Chiara has not been back to Lewisham since relocating, as a simple journey would cost her £20 and involve a lengthy walk with her children to the train station. The move disrupts employment, education, and healthcare access, as seen in the case of Momotaz Islam and her family who, after nine years in East London, were relocated to Harlow by Redbridge Council when their rented home was sold. The relocation has negatively impacted their daily lives, with her husband’s ongoing health treatments at a London hospital complicated by the longer distance, and her children struggling with extended travel times to school and university.</w:t>
      </w:r>
      <w:r/>
    </w:p>
    <w:p>
      <w:r/>
      <w:r>
        <w:t>Local councils in towns like Harlow and Basildon have voiced strong criticism of these practices, calling them "inhumane." Dan Swords, leader of Harlow Council, condemned the housing of London’s homeless families far from their support networks in substandard conditions. He highlighted the difficulties smaller councils face competing with London's financial muscle to secure local housing, which often results in vulnerable individuals being placed in properties with poor maintenance and no local support. Swords also noted that council tax on such converted office blocks often goes unpaid, adding financial strain. Harlow Council itself has policies to avoid relocating homeless individuals outside its boundary but finds it increasingly difficult to maintain these amid competition from London councils.</w:t>
      </w:r>
      <w:r/>
    </w:p>
    <w:p>
      <w:r/>
      <w:r>
        <w:t>The influx of vulnerable populations has put visible pressure on local infrastructure and services in host towns. Police data shows a 20% increase in crime in Harlow town centre following the opening of Terminus House—another large office block converted into accommodation for homeless families. The deteriorating conditions of some of these buildings, coupled with social challenges, have led to calls for government intervention and a systemic overhaul of how temporary housing responsibilities are managed.</w:t>
      </w:r>
      <w:r/>
    </w:p>
    <w:p>
      <w:r/>
      <w:r>
        <w:t>Havering Council, confronting similar financial constraints, has formalised plans to lease and convert office spaces to house homeless families, targeting significant cost savings. For example, it has approved a 10-year lease for Eastgate House in Basildon, aiming to create 34 homes by early 2026. This initiative is intended to reduce reliance on expensive hotel accommodation and potentially save the council nearly £1.8 million annually. While this approach addresses immediate budgetary pressures, it has sparked debate over the suitability and human impact of relocating vulnerable residents far from their communities.</w:t>
      </w:r>
      <w:r/>
    </w:p>
    <w:p>
      <w:r/>
      <w:r>
        <w:t>Campaigners, including MyLondon through its Broken Homes initiative, are calling for legislative changes to protect homeless residents from being forced to accept housing unreasonable distances from their home boroughs. Suggestions include setting universal distance caps to prevent boroughs from shifting their housing duties across the country and banning the discharge of duty when unreasonable offers are refused. There are also calls for improved inter-council cooperation and swift maintenance requirements for temporary housing facilities.</w:t>
      </w:r>
      <w:r/>
    </w:p>
    <w:p>
      <w:r/>
      <w:r>
        <w:t>Critics argue that without systemic reform, London’s homeless will continue to be “warehoused” in far-flung, unsuitable properties, while host towns bear the social and economic consequences. Calls are growing for the government to intervene to prevent what some describe as a postcode lottery in homelessness care and to ensure that solutions prioritise care, dignity, and connection to support networks rather than mere cost-saving displacement.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p>
    <w:p>
      <w:pPr>
        <w:pStyle w:val="ListBullet"/>
        <w:spacing w:line="240" w:lineRule="auto"/>
        <w:ind w:left="720"/>
      </w:pPr>
      <w:r/>
      <w:r>
        <w:t xml:space="preserve">Paragraph 8 – </w:t>
      </w:r>
      <w:hyperlink r:id="rId9">
        <w:r>
          <w:rPr>
            <w:color w:val="0000EE"/>
            <w:u w:val="single"/>
          </w:rPr>
          <w:t>[1]</w:t>
        </w:r>
      </w:hyperlink>
      <w:r>
        <w:t xml:space="preserve"> (MyLondon), </w:t>
      </w:r>
      <w:hyperlink r:id="rId10">
        <w:r>
          <w:rPr>
            <w:color w:val="0000EE"/>
            <w:u w:val="single"/>
          </w:rPr>
          <w:t>[2]</w:t>
        </w:r>
      </w:hyperlink>
      <w:r>
        <w:t xml:space="preserve"> (Evening Standard)</w:t>
      </w:r>
      <w:r/>
    </w:p>
    <w:p>
      <w:pPr>
        <w:pStyle w:val="ListBullet"/>
        <w:spacing w:line="240" w:lineRule="auto"/>
        <w:ind w:left="720"/>
      </w:pPr>
      <w:r/>
      <w:r>
        <w:t xml:space="preserve">Paragraph 9 – </w:t>
      </w:r>
      <w:hyperlink r:id="rId9">
        <w:r>
          <w:rPr>
            <w:color w:val="0000EE"/>
            <w:u w:val="single"/>
          </w:rPr>
          <w:t>[1]</w:t>
        </w:r>
      </w:hyperlink>
      <w:r>
        <w:t xml:space="preserve"> (MyLondon)</w:t>
      </w:r>
      <w:r/>
    </w:p>
    <w:p>
      <w:pPr>
        <w:pStyle w:val="ListBullet"/>
        <w:spacing w:line="240" w:lineRule="auto"/>
        <w:ind w:left="720"/>
      </w:pPr>
      <w:r/>
      <w:r>
        <w:t xml:space="preserve">Paragraph 10 – </w:t>
      </w:r>
      <w:hyperlink r:id="rId10">
        <w:r>
          <w:rPr>
            <w:color w:val="0000EE"/>
            <w:u w:val="single"/>
          </w:rPr>
          <w:t>[2]</w:t>
        </w:r>
      </w:hyperlink>
      <w:r>
        <w:t xml:space="preserve"> (Evening Standard)</w:t>
      </w:r>
      <w:r/>
    </w:p>
    <w:p>
      <w:pPr>
        <w:pStyle w:val="ListBullet"/>
        <w:spacing w:line="240" w:lineRule="auto"/>
        <w:ind w:left="720"/>
      </w:pPr>
      <w:r/>
      <w:r>
        <w:t xml:space="preserve">Paragraph 11 – </w:t>
      </w:r>
      <w:hyperlink r:id="rId9">
        <w:r>
          <w:rPr>
            <w:color w:val="0000EE"/>
            <w:u w:val="single"/>
          </w:rPr>
          <w:t>[1]</w:t>
        </w:r>
      </w:hyperlink>
      <w:r>
        <w:t xml:space="preserve"> (MyLondon)</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https://www.mylondon.news/news/east-london-news/trojan-horse-how-london-councils-32583402</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https://www.standard.co.uk/news/london/havering-council-office-homeless-move-b1206752.html</w:t>
        </w:r>
      </w:hyperlink>
      <w:r>
        <w:t xml:space="preserve"> - Havering Council, facing financial difficulties, plans to house homeless families in converted office blocks to save costs. The council has approved a 10-year lease for Eastgate House in Basildon, aiming to provide 34 homes by February 2026, reducing reliance on expensive hotels and potentially saving £1.8 million annually. This strategy addresses the council's efforts to manage homelessness amid budget constraints.</w:t>
      </w:r>
      <w:r/>
    </w:p>
    <w:p>
      <w:pPr>
        <w:pStyle w:val="ListNumber"/>
        <w:spacing w:line="240" w:lineRule="auto"/>
        <w:ind w:left="720"/>
      </w:pPr>
      <w:r/>
      <w:hyperlink r:id="rId10">
        <w:r>
          <w:rPr>
            <w:color w:val="0000EE"/>
            <w:u w:val="single"/>
          </w:rPr>
          <w:t>https://www.standard.co.uk/news/london/havering-council-office-homeless-move-b1206752.html</w:t>
        </w:r>
      </w:hyperlink>
      <w:r>
        <w:t xml:space="preserve"> - Havering Council, facing financial difficulties, plans to house homeless families in converted office blocks to save costs. The council has approved a 10-year lease for Eastgate House in Basildon, aiming to provide 34 homes by February 2026, reducing reliance on expensive hotels and potentially saving £1.8 million annually. This strategy addresses the council's efforts to manage homelessness amid budget constraints.</w:t>
      </w:r>
      <w:r/>
    </w:p>
    <w:p>
      <w:pPr>
        <w:pStyle w:val="ListNumber"/>
        <w:spacing w:line="240" w:lineRule="auto"/>
        <w:ind w:left="720"/>
      </w:pPr>
      <w:r/>
      <w:hyperlink r:id="rId10">
        <w:r>
          <w:rPr>
            <w:color w:val="0000EE"/>
            <w:u w:val="single"/>
          </w:rPr>
          <w:t>https://www.standard.co.uk/news/london/havering-council-office-homeless-move-b1206752.html</w:t>
        </w:r>
      </w:hyperlink>
      <w:r>
        <w:t xml:space="preserve"> - Havering Council, facing financial difficulties, plans to house homeless families in converted office blocks to save costs. The council has approved a 10-year lease for Eastgate House in Basildon, aiming to provide 34 homes by February 2026, reducing reliance on expensive hotels and potentially saving £1.8 million annually. This strategy addresses the council's efforts to manage homelessness amid budget constraints.</w:t>
      </w:r>
      <w:r/>
    </w:p>
    <w:p>
      <w:pPr>
        <w:pStyle w:val="ListNumber"/>
        <w:spacing w:line="240" w:lineRule="auto"/>
        <w:ind w:left="720"/>
      </w:pPr>
      <w:r/>
      <w:hyperlink r:id="rId10">
        <w:r>
          <w:rPr>
            <w:color w:val="0000EE"/>
            <w:u w:val="single"/>
          </w:rPr>
          <w:t>https://www.standard.co.uk/news/london/havering-council-office-homeless-move-b1206752.html</w:t>
        </w:r>
      </w:hyperlink>
      <w:r>
        <w:t xml:space="preserve"> - Havering Council, facing financial difficulties, plans to house homeless families in converted office blocks to save costs. The council has approved a 10-year lease for Eastgate House in Basildon, aiming to provide 34 homes by February 2026, reducing reliance on expensive hotels and potentially saving £1.8 million annually. This strategy addresses the council's efforts to manage homelessness amid budget constraints.</w:t>
      </w:r>
      <w:r/>
    </w:p>
    <w:p>
      <w:pPr>
        <w:pStyle w:val="ListNumber"/>
        <w:spacing w:line="240" w:lineRule="auto"/>
        <w:ind w:left="720"/>
      </w:pPr>
      <w:r/>
      <w:hyperlink r:id="rId10">
        <w:r>
          <w:rPr>
            <w:color w:val="0000EE"/>
            <w:u w:val="single"/>
          </w:rPr>
          <w:t>https://www.standard.co.uk/news/london/havering-council-office-homeless-move-b1206752.html</w:t>
        </w:r>
      </w:hyperlink>
      <w:r>
        <w:t xml:space="preserve"> - Havering Council, facing financial difficulties, plans to house homeless families in converted office blocks to save costs. The council has approved a 10-year lease for Eastgate House in Basildon, aiming to provide 34 homes by February 2026, reducing reliance on expensive hotels and potentially saving £1.8 million annually. This strategy addresses the council's efforts to manage homelessness amid budget constraints.</w:t>
      </w:r>
      <w:r/>
    </w:p>
    <w:p>
      <w:pPr>
        <w:pStyle w:val="ListNumber"/>
        <w:spacing w:line="240" w:lineRule="auto"/>
        <w:ind w:left="720"/>
      </w:pPr>
      <w:r/>
      <w:hyperlink r:id="rId10">
        <w:r>
          <w:rPr>
            <w:color w:val="0000EE"/>
            <w:u w:val="single"/>
          </w:rPr>
          <w:t>https://www.standard.co.uk/news/london/havering-council-office-homeless-move-b1206752.html</w:t>
        </w:r>
      </w:hyperlink>
      <w:r>
        <w:t xml:space="preserve"> - Havering Council, facing financial difficulties, plans to house homeless families in converted office blocks to save costs. The council has approved a 10-year lease for Eastgate House in Basildon, aiming to provide 34 homes by February 2026, reducing reliance on expensive hotels and potentially saving £1.8 million annually. This strategy addresses the council's efforts to manage homelessness amid budget constraints.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trojan-horse-how-london-councils-32583402" TargetMode="External"/><Relationship Id="rId10" Type="http://schemas.openxmlformats.org/officeDocument/2006/relationships/hyperlink" Target="https://www.standard.co.uk/news/london/havering-council-office-homeless-move-b1206752.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