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Housing crisis pushes child poverty to new heights in London and beyond</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New official statistics reveal a disturbing scale of child poverty in England, exposing almost complete income deprivation among children in 73 neighbourhoods, primarily reflecting the soaring costs of housing. The latest English Indices of Deprivation, published on 30 October 2025, introduce a pivotal update by accounting for rent and other housing expenses—dramatically altering the portrait of income hardship across the country.</w:t>
      </w:r>
      <w:r/>
    </w:p>
    <w:p>
      <w:r/>
      <w:r>
        <w:t>The inclusion of housing costs in the deprivation calculations has led to an alarming revelation: in 31 neighbourhoods within inner London boroughs such as Tower Hamlets, Hackney, Haringey, and Westminster, virtually every child lives in an income-deprived household. This marks a striking shift from the previous 2019 indices, where no small area recorded over 90% child income deprivation. By 2025, the number of such neighbourhoods has surged to 280, with 73 exceeding 99% child poverty rates. For example, Stamford Hill in Hackney witnessed an increase in child income deprivation from 8.9% in 2019 to 99.9% in 2025, highlighting the profound impact of London’s housing crisis on child poverty</w:t>
      </w:r>
      <w:hyperlink r:id="rId9">
        <w:r>
          <w:rPr>
            <w:color w:val="0000EE"/>
            <w:u w:val="single"/>
          </w:rPr>
          <w:t>[1]</w:t>
        </w:r>
      </w:hyperlink>
      <w:r>
        <w:t>.</w:t>
      </w:r>
      <w:r/>
    </w:p>
    <w:p>
      <w:r/>
      <w:r>
        <w:t>This recalibration challenges prior perceptions that child poverty was predominantly confined to northern industrial towns and coastal areas. Though Blackpool, Middlesbrough, Burnley, Manchester, and Birmingham still rank among the most deprived for overall income deprivation, the new measures cast London’s affordability crisis into unusually stark relief. Jaywick in Essex remains one of the most deprived neighbourhoods, maintaining its status for the fourth consecutive index release, but many inner-city London areas now stand out for their extreme hardship</w:t>
      </w:r>
      <w:hyperlink r:id="rId9">
        <w:r>
          <w:rPr>
            <w:color w:val="0000EE"/>
            <w:u w:val="single"/>
          </w:rPr>
          <w:t>[1]</w:t>
        </w:r>
      </w:hyperlink>
      <w:r>
        <w:t>.</w:t>
      </w:r>
      <w:r/>
    </w:p>
    <w:p>
      <w:r/>
      <w:r>
        <w:t>The updated indices, produced by the Ministry of Housing, Communities and Local Government with input from analytical teams including OCSI, evaluate deprivation across seven domains: income, employment, education, health, crime, barriers to housing and services, and the environment. This more comprehensive approach exposes the entrenched nature of deprivation in micro-pockets, or small neighbourhood units averaging 1,500 residents, illuminating how welfare policies—such as benefit caps and limits on child benefit—interact with high rents to deepen economic exclusion</w:t>
      </w:r>
      <w:hyperlink r:id="rId9">
        <w:r>
          <w:rPr>
            <w:color w:val="0000EE"/>
            <w:u w:val="single"/>
          </w:rPr>
          <w:t>[1]</w:t>
        </w:r>
      </w:hyperlink>
      <w:hyperlink r:id="rId10">
        <w:r>
          <w:rPr>
            <w:color w:val="0000EE"/>
            <w:u w:val="single"/>
          </w:rPr>
          <w:t>[2]</w:t>
        </w:r>
      </w:hyperlink>
      <w:hyperlink r:id="rId11">
        <w:r>
          <w:rPr>
            <w:color w:val="0000EE"/>
            <w:u w:val="single"/>
          </w:rPr>
          <w:t>[4]</w:t>
        </w:r>
      </w:hyperlink>
      <w:r>
        <w:t>.</w:t>
      </w:r>
      <w:r/>
    </w:p>
    <w:p>
      <w:r/>
      <w:r>
        <w:t>The new findings have sparked political sensitivities as they will influence local authority and NHS funding. Previously announced reforms aimed to rebalance funding from more affluent southern regions towards the Midlands and north of England; yet with the housing costs factored in, London boroughs may retain more resources than anticipated, possibly diluting expected financial transfers to historically deprived northern councils. This dynamic could complicate efforts at ‘levelling up’ regional inequalities, raising concerns among northern authorities about potential funding losses</w:t>
      </w:r>
      <w:hyperlink r:id="rId9">
        <w:r>
          <w:rPr>
            <w:color w:val="0000EE"/>
            <w:u w:val="single"/>
          </w:rPr>
          <w:t>[1]</w:t>
        </w:r>
      </w:hyperlink>
      <w:r>
        <w:t>.</w:t>
      </w:r>
      <w:r/>
    </w:p>
    <w:p>
      <w:r/>
      <w:r>
        <w:t>The statistics also underscore persistent deprivation across various parts of England, notably in coastal towns where nearly 20% of neighbourhoods rank within the poorest decile nationally, though many coastal areas have seen slight improvements since 2019. Some areas have seen remarkable gains from regeneration efforts—such as near the Nine Elms development in Lambeth, which leapt from the bottom 20% to the top 10% most deprived due to recent development projects and transport upgrades. Conversely, long-term deprived neighbourhoods like parts of Rochdale, Middlesbrough, and the Wirral remain entrenched in hardship across multiple deprivation domains</w:t>
      </w:r>
      <w:hyperlink r:id="rId9">
        <w:r>
          <w:rPr>
            <w:color w:val="0000EE"/>
            <w:u w:val="single"/>
          </w:rPr>
          <w:t>[1]</w:t>
        </w:r>
      </w:hyperlink>
      <w:r>
        <w:t>.</w:t>
      </w:r>
      <w:r/>
    </w:p>
    <w:p>
      <w:r/>
      <w:r>
        <w:t>Government officials recognise the urgent need to address these stubborn inequalities. Alison McGovern, Minister for Local Government and Homelessness, stated that new investments—including half a billion pounds in children’s development and a billion in crisis support—alongside Labour’s devolution bill, are intended to ‘shift the dial’ on deprivation. However, she also described the figures as a “damning indictment” of systemic failures that have left communities fractured and local councils financially strained, signalling a pressing need for policy action beyond mere financial redistribution</w:t>
      </w:r>
      <w:hyperlink r:id="rId9">
        <w:r>
          <w:rPr>
            <w:color w:val="0000EE"/>
            <w:u w:val="single"/>
          </w:rPr>
          <w:t>[1]</w:t>
        </w:r>
      </w:hyperlink>
      <w:r>
        <w:t>.</w:t>
      </w:r>
      <w:r/>
    </w:p>
    <w:p>
      <w:r/>
      <w:r>
        <w:t>The English Indices of Deprivation 2025 are also subject to ongoing refinement, with the government conducting consultations on methodological enhancements to reflect evolving societal conditions. Such efforts aim to ensure the indices remain a robust tool for monitoring deprivation trends and guiding resource allocation to those most in need</w:t>
      </w:r>
      <w:hyperlink r:id="rId12">
        <w:r>
          <w:rPr>
            <w:color w:val="0000EE"/>
            <w:u w:val="single"/>
          </w:rPr>
          <w:t>[3]</w:t>
        </w:r>
      </w:hyperlink>
      <w:hyperlink r:id="rId13">
        <w:r>
          <w:rPr>
            <w:color w:val="0000EE"/>
            <w:u w:val="single"/>
          </w:rPr>
          <w:t>[5]</w:t>
        </w:r>
      </w:hyperlink>
      <w:r>
        <w:t>.</w:t>
      </w:r>
      <w:r/>
    </w:p>
    <w:p>
      <w:r/>
      <w:r>
        <w:t>In sum, the updated deprivation indices provide a more nuanced and urgent portrait of childhood poverty and economic hardship in England, underlining the central role that housing affordability plays in shaping inequality. The ripple effects on local government funding and social services, coupled with political debates on welfare and regeneration strategies, make tackling these entrenched pockets of deprivation a complex but critical challenge for policymakers moving forward.</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(The Guardian)</w:t>
      </w:r>
      <w:r/>
    </w:p>
    <w:p>
      <w:pPr>
        <w:pStyle w:val="ListBullet"/>
        <w:spacing w:line="240" w:lineRule="auto"/>
        <w:ind w:left="720"/>
      </w:pPr>
      <w:r/>
      <w:r>
        <w:t xml:space="preserve">Paragraph 2 – </w:t>
      </w:r>
      <w:hyperlink r:id="rId9">
        <w:r>
          <w:rPr>
            <w:color w:val="0000EE"/>
            <w:u w:val="single"/>
          </w:rPr>
          <w:t>[1]</w:t>
        </w:r>
      </w:hyperlink>
      <w:r>
        <w:t xml:space="preserve"> (The Guardian)</w:t>
      </w:r>
      <w:r/>
    </w:p>
    <w:p>
      <w:pPr>
        <w:pStyle w:val="ListBullet"/>
        <w:spacing w:line="240" w:lineRule="auto"/>
        <w:ind w:left="720"/>
      </w:pPr>
      <w:r/>
      <w:r>
        <w:t xml:space="preserve">Paragraph 3 – </w:t>
      </w:r>
      <w:hyperlink r:id="rId9">
        <w:r>
          <w:rPr>
            <w:color w:val="0000EE"/>
            <w:u w:val="single"/>
          </w:rPr>
          <w:t>[1]</w:t>
        </w:r>
      </w:hyperlink>
      <w:r>
        <w:t xml:space="preserve"> (The Guardian)</w:t>
      </w:r>
      <w:r/>
    </w:p>
    <w:p>
      <w:pPr>
        <w:pStyle w:val="ListBullet"/>
        <w:spacing w:line="240" w:lineRule="auto"/>
        <w:ind w:left="720"/>
      </w:pPr>
      <w:r/>
      <w:r>
        <w:t xml:space="preserve">Paragraph 4 – </w:t>
      </w:r>
      <w:hyperlink r:id="rId9">
        <w:r>
          <w:rPr>
            <w:color w:val="0000EE"/>
            <w:u w:val="single"/>
          </w:rPr>
          <w:t>[1]</w:t>
        </w:r>
      </w:hyperlink>
      <w:r>
        <w:t xml:space="preserve"> (The Guardian), </w:t>
      </w:r>
      <w:hyperlink r:id="rId10">
        <w:r>
          <w:rPr>
            <w:color w:val="0000EE"/>
            <w:u w:val="single"/>
          </w:rPr>
          <w:t>[2]</w:t>
        </w:r>
      </w:hyperlink>
      <w:r>
        <w:t xml:space="preserve"> (gov.uk), </w:t>
      </w:r>
      <w:hyperlink r:id="rId11">
        <w:r>
          <w:rPr>
            <w:color w:val="0000EE"/>
            <w:u w:val="single"/>
          </w:rPr>
          <w:t>[4]</w:t>
        </w:r>
      </w:hyperlink>
      <w:r>
        <w:t xml:space="preserve"> (OCSI)</w:t>
      </w:r>
      <w:r/>
    </w:p>
    <w:p>
      <w:pPr>
        <w:pStyle w:val="ListBullet"/>
        <w:spacing w:line="240" w:lineRule="auto"/>
        <w:ind w:left="720"/>
      </w:pPr>
      <w:r/>
      <w:r>
        <w:t xml:space="preserve">Paragraph 5 – </w:t>
      </w:r>
      <w:hyperlink r:id="rId9">
        <w:r>
          <w:rPr>
            <w:color w:val="0000EE"/>
            <w:u w:val="single"/>
          </w:rPr>
          <w:t>[1]</w:t>
        </w:r>
      </w:hyperlink>
      <w:r>
        <w:t xml:space="preserve"> (The Guardian)</w:t>
      </w:r>
      <w:r/>
    </w:p>
    <w:p>
      <w:pPr>
        <w:pStyle w:val="ListBullet"/>
        <w:spacing w:line="240" w:lineRule="auto"/>
        <w:ind w:left="720"/>
      </w:pPr>
      <w:r/>
      <w:r>
        <w:t xml:space="preserve">Paragraph 6 – </w:t>
      </w:r>
      <w:hyperlink r:id="rId9">
        <w:r>
          <w:rPr>
            <w:color w:val="0000EE"/>
            <w:u w:val="single"/>
          </w:rPr>
          <w:t>[1]</w:t>
        </w:r>
      </w:hyperlink>
      <w:r>
        <w:t xml:space="preserve"> (The Guardian)</w:t>
      </w:r>
      <w:r/>
    </w:p>
    <w:p>
      <w:pPr>
        <w:pStyle w:val="ListBullet"/>
        <w:spacing w:line="240" w:lineRule="auto"/>
        <w:ind w:left="720"/>
      </w:pPr>
      <w:r/>
      <w:r>
        <w:t xml:space="preserve">Paragraph 7 – </w:t>
      </w:r>
      <w:hyperlink r:id="rId9">
        <w:r>
          <w:rPr>
            <w:color w:val="0000EE"/>
            <w:u w:val="single"/>
          </w:rPr>
          <w:t>[1]</w:t>
        </w:r>
      </w:hyperlink>
      <w:r>
        <w:t xml:space="preserve"> (The Guardian)</w:t>
      </w:r>
      <w:r/>
    </w:p>
    <w:p>
      <w:pPr>
        <w:pStyle w:val="ListBullet"/>
        <w:spacing w:line="240" w:lineRule="auto"/>
        <w:ind w:left="720"/>
      </w:pPr>
      <w:r/>
      <w:r>
        <w:t xml:space="preserve">Paragraph 8 – </w:t>
      </w:r>
      <w:hyperlink r:id="rId9">
        <w:r>
          <w:rPr>
            <w:color w:val="0000EE"/>
            <w:u w:val="single"/>
          </w:rPr>
          <w:t>[1]</w:t>
        </w:r>
      </w:hyperlink>
      <w:r>
        <w:t xml:space="preserve"> (The Guardian), </w:t>
      </w:r>
      <w:hyperlink r:id="rId12">
        <w:r>
          <w:rPr>
            <w:color w:val="0000EE"/>
            <w:u w:val="single"/>
          </w:rPr>
          <w:t>[3]</w:t>
        </w:r>
      </w:hyperlink>
      <w:r>
        <w:t xml:space="preserve"> (OCSI), </w:t>
      </w:r>
      <w:hyperlink r:id="rId13">
        <w:r>
          <w:rPr>
            <w:color w:val="0000EE"/>
            <w:u w:val="single"/>
          </w:rPr>
          <w:t>[5]</w:t>
        </w:r>
      </w:hyperlink>
      <w:r>
        <w:t xml:space="preserve"> (gov.uk)</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https://www.theguardian.com/society/2025/oct/30/almost-all-children-in-73-areas-of-england-live-in-low-income-households</w:t>
        </w:r>
      </w:hyperlink>
      <w:r>
        <w:t xml:space="preserve"> - Please view link - unable to able to access data</w:t>
      </w:r>
      <w:r/>
    </w:p>
    <w:p>
      <w:pPr>
        <w:pStyle w:val="ListNumber"/>
        <w:spacing w:line="240" w:lineRule="auto"/>
        <w:ind w:left="720"/>
      </w:pPr>
      <w:r/>
      <w:hyperlink r:id="rId10">
        <w:r>
          <w:rPr>
            <w:color w:val="0000EE"/>
            <w:u w:val="single"/>
          </w:rPr>
          <w:t>https://www.gov.uk/government/statistics/announcements/english-indices-of-deprivation-2025</w:t>
        </w:r>
      </w:hyperlink>
      <w:r>
        <w:t xml:space="preserve"> - The English Indices of Deprivation 2025, published by the Ministry of Housing, Communities and Local Government, provide updated statistics on relative levels of deprivation across England. These indices assess various domains, including income, employment, education, health, crime, barriers to housing and services, and the living environment, offering a comprehensive overview of deprivation at the local level.</w:t>
      </w:r>
      <w:r/>
    </w:p>
    <w:p>
      <w:pPr>
        <w:pStyle w:val="ListNumber"/>
        <w:spacing w:line="240" w:lineRule="auto"/>
        <w:ind w:left="720"/>
      </w:pPr>
      <w:r/>
      <w:hyperlink r:id="rId12">
        <w:r>
          <w:rPr>
            <w:color w:val="0000EE"/>
            <w:u w:val="single"/>
          </w:rPr>
          <w:t>https://ocsi.uk/2025/09/23/english-indices-of-deprivation-2025-release-date/</w:t>
        </w:r>
      </w:hyperlink>
      <w:r>
        <w:t xml:space="preserve"> - The Office for National Statistics and Deprivation.org announced the release date for the English Indices of Deprivation 2025, scheduled for 30 October 2025. This marks the third consecutive iteration of the indices co-led by OCSI, aiming to provide updated insights into deprivation levels across England.</w:t>
      </w:r>
      <w:r/>
    </w:p>
    <w:p>
      <w:pPr>
        <w:pStyle w:val="ListNumber"/>
        <w:spacing w:line="240" w:lineRule="auto"/>
        <w:ind w:left="720"/>
      </w:pPr>
      <w:r/>
      <w:hyperlink r:id="rId11">
        <w:r>
          <w:rPr>
            <w:color w:val="0000EE"/>
            <w:u w:val="single"/>
          </w:rPr>
          <w:t>https://ocsi.uk/2023/07/10/we-are-updating-the-english-indices-of-deprivation/</w:t>
        </w:r>
      </w:hyperlink>
      <w:r>
        <w:t xml:space="preserve"> - OCSI and Deprivation.org have been commissioned to update the English Indices of Deprivation on behalf of the Ministry of Housing, Communities and Local Government. This project seeks to review and enhance the indices, incorporating insights from a 2022 user consultation to ensure the data meets a broad range of user needs.</w:t>
      </w:r>
      <w:r/>
    </w:p>
    <w:p>
      <w:pPr>
        <w:pStyle w:val="ListNumber"/>
        <w:spacing w:line="240" w:lineRule="auto"/>
        <w:ind w:left="720"/>
      </w:pPr>
      <w:r/>
      <w:hyperlink r:id="rId13">
        <w:r>
          <w:rPr>
            <w:color w:val="0000EE"/>
            <w:u w:val="single"/>
          </w:rPr>
          <w:t>https://www.gov.uk/government/consultations/indices-futures-updating-the-english-indices-of-deprivation-iod-consultation/indices-futures-updating-the-english-indices-of-deprivation-iod-consultation</w:t>
        </w:r>
      </w:hyperlink>
      <w:r>
        <w:t xml:space="preserve"> - The UK government is consulting on how best to update the English Indices of Deprivation in the future. The consultation seeks feedback on the methodology and indicators used in the indices to ensure they accurately reflect current deprivation levels across England.</w:t>
      </w:r>
      <w:r/>
    </w:p>
    <w:p>
      <w:pPr>
        <w:pStyle w:val="ListNumber"/>
        <w:spacing w:line="240" w:lineRule="auto"/>
        <w:ind w:left="720"/>
      </w:pPr>
      <w:r/>
      <w:hyperlink r:id="rId15">
        <w:r>
          <w:rPr>
            <w:color w:val="0000EE"/>
            <w:u w:val="single"/>
          </w:rPr>
          <w:t>https://www.data.gov.uk/dataset/6823324e-13d7-4f43-a84a-aa96d5e340d1/indices-of-multiple-deprivation-borough</w:t>
        </w:r>
      </w:hyperlink>
      <w:r>
        <w:t xml:space="preserve"> - This dataset provides summary statistics from the Indices of Multiple Deprivation (IMD) at the borough level, including data from 2000, 2004, and 2007. The IMD combines various indicators to produce a single deprivation score for each small area in England, allowing for relative ranking of areas based on deprivation levels.</w:t>
      </w:r>
      <w:r/>
    </w:p>
    <w:p>
      <w:pPr>
        <w:pStyle w:val="ListNumber"/>
        <w:spacing w:line="240" w:lineRule="auto"/>
        <w:ind w:left="720"/>
      </w:pPr>
      <w:r/>
      <w:hyperlink r:id="rId16">
        <w:r>
          <w:rPr>
            <w:color w:val="0000EE"/>
            <w:u w:val="single"/>
          </w:rPr>
          <w:t>https://www.data.gov.uk/dataset/f79c889e-481f-4c77-8cd9-89aefc364344/indices-of-deprivation3</w:t>
        </w:r>
      </w:hyperlink>
      <w:r>
        <w:t xml:space="preserve"> - This page contains all the English Indices of Deprivation (ID) data for London at LSOA and borough level for the latest release (ID2019) as published by central government back to 2010. The London data files have sheets for the published LSOA overall IMD and domains (rank and score), LSOA sub domains (rank and score), LSOA IDACI/IDAOPI, borough level IMD summary measures, borough level domain summary measures, borough level IDACI/IDAOPI, population figures, underlying indicators.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society/2025/oct/30/almost-all-children-in-73-areas-of-england-live-in-low-income-households" TargetMode="External"/><Relationship Id="rId10" Type="http://schemas.openxmlformats.org/officeDocument/2006/relationships/hyperlink" Target="https://www.gov.uk/government/statistics/announcements/english-indices-of-deprivation-2025" TargetMode="External"/><Relationship Id="rId11" Type="http://schemas.openxmlformats.org/officeDocument/2006/relationships/hyperlink" Target="https://ocsi.uk/2023/07/10/we-are-updating-the-english-indices-of-deprivation/" TargetMode="External"/><Relationship Id="rId12" Type="http://schemas.openxmlformats.org/officeDocument/2006/relationships/hyperlink" Target="https://ocsi.uk/2025/09/23/english-indices-of-deprivation-2025-release-date/" TargetMode="External"/><Relationship Id="rId13" Type="http://schemas.openxmlformats.org/officeDocument/2006/relationships/hyperlink" Target="https://www.gov.uk/government/consultations/indices-futures-updating-the-english-indices-of-deprivation-iod-consultation/indices-futures-updating-the-english-indices-of-deprivation-iod-consultation" TargetMode="External"/><Relationship Id="rId14" Type="http://schemas.openxmlformats.org/officeDocument/2006/relationships/hyperlink" Target="https://www.noahwire.com" TargetMode="External"/><Relationship Id="rId15" Type="http://schemas.openxmlformats.org/officeDocument/2006/relationships/hyperlink" Target="https://www.data.gov.uk/dataset/6823324e-13d7-4f43-a84a-aa96d5e340d1/indices-of-multiple-deprivation-borough" TargetMode="External"/><Relationship Id="rId16" Type="http://schemas.openxmlformats.org/officeDocument/2006/relationships/hyperlink" Target="https://www.data.gov.uk/dataset/f79c889e-481f-4c77-8cd9-89aefc364344/indices-of-deprivation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