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Lewisham family's prolonged damp ordeal highlights urgent need for Awaab’s Law compliance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family in South London endured living in a two-bedroom flat plagued by severe damp and mould problems for over seven months, an ordeal that only ended following a critical Housing Ombudsman investigation into Lewisham Council’s handling of their complaints. The Ombudsman found that Lewisham Council had failed to follow its own vulnerable resident policies and had shown a lack of urgency in addressing the housing issues despite repeated reports from the family, which included five children. Furthermore, the council neglected to communicate repair plans or timelines to the residents, leaving them in prolonged distress.</w:t>
      </w:r>
      <w:r/>
    </w:p>
    <w:p>
      <w:r/>
      <w:r>
        <w:t>A Lewisham Council spokesperson acknowledged these failings, stating they have assigned a dedicated officer to support the family and are working to provide a clear schedule of remedial works until the problems are fully resolved. The local authority also highlighted efforts to improve repair processes and information management following the return of housing services under the council’s control in October 2023. They emphasised taking their responsibilities under the recently introduced Awaab’s Law "extremely seriously," alongside new policies and system redesigns to better address damp and mould issues.</w:t>
      </w:r>
      <w:r/>
    </w:p>
    <w:p>
      <w:r/>
      <w:r>
        <w:t>Awaab’s Law, which came into force on 27 October 2025, arose from the tragic death of Awaab Ishak, a two-year-old boy who died from respiratory illness caused by prolonged exposure to severe mould in his family’s social housing in Manchester. This legislation now obliges social landlords to respond swiftly to serious damp and mould complaints—investigating hazards within a fixed period, addressing emergency dangers within 24 hours, and completing repairs within set timeframes. If immediate repairs cannot be completed, landlords must provide suitable alternative accommodation at their expense. The law also offers tenants clear documentation rights, protection from retaliation, and avenues to escalate unresolved issues to the Housing Ombudsman.</w:t>
      </w:r>
      <w:r/>
    </w:p>
    <w:p>
      <w:r/>
      <w:r>
        <w:t>The Housing Ombudsman report highlighted systemic failings not limited to Lewisham Council. Cases described included homes with wet carpets, mushrooms growing on walls, and even water running down a child's bedroom wall during rain. These lengthy delays and inadequate responses frequently coincided with residents reporting worsening health conditions, such as asthma and fungal infections. Ombudsman Richard Blakeway noted that problems often persisted for months or, in some instances, years without adequate landlord intervention—far from the swift action mandated under Awaab’s Law.</w:t>
      </w:r>
      <w:r/>
    </w:p>
    <w:p>
      <w:r/>
      <w:r>
        <w:t>Specifically in Lewisham, the council’s response to initial water leaks was inconsistent and poorly monitored. Despite multiple residents in the same block reporting leaks, only the roof was inspected, and a promised damp and mould inspection never took place. Discrepancies in council records further muddled the cause of the damp, contributing to inaction. At the time of the investigation, the family continued to live with the mould, with no initial timeline for repairs provided by the council until the Ombudsman mandated a clear plan of action.</w:t>
      </w:r>
      <w:r/>
    </w:p>
    <w:p>
      <w:r/>
      <w:r>
        <w:t>Additional scrutiny of Lewisham Council’s maintenance record revealed broader issues. Separate reports of severe maladministration included unresolved sewerage leaks lasting 11 months under similar emergency repair categorisation and instances where the council failed to act within reasonable timescales or mismanaged repairs, even invalidating guarantees on building work and incorrectly charging residents.</w:t>
      </w:r>
      <w:r/>
    </w:p>
    <w:p>
      <w:r/>
      <w:r>
        <w:t>The introduction of Awaab’s Law aims to prevent such failures going forward by enforcing statutory response times for social landlords. It requires investigations within 10 to 14 working days, written reports, and urgent repairs commencing within 24 hours to seven days depending on severity. If homes cannot be made safe, landlords must provide alternative accommodation. These measures intend to create safer living environments and significantly improve landlord accountability, with penalties for non-compliance reached up to £40,000 for severe breaches.</w:t>
      </w:r>
      <w:r/>
    </w:p>
    <w:p>
      <w:r/>
      <w:r>
        <w:t>The Lewisham case thus serves as a stark reminder of the human cost when housing providers fail vulnerable residents, particularly children. It underscores the transformative ambition of Awaab’s Law to eliminate preventable health hazards related to damp and mould in social housing, ensuring timely interventions and transparent communication. Council efforts to redesign their repair services reflect a necessary shift to uphold the law’s standards and regain resident trust.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w:t>
      </w:r>
      <w:r/>
    </w:p>
    <w:p>
      <w:pPr>
        <w:pStyle w:val="ListBullet"/>
        <w:spacing w:line="240" w:lineRule="auto"/>
        <w:ind w:left="720"/>
      </w:pPr>
      <w:r/>
      <w:r>
        <w:t xml:space="preserve">Paragraph 3 – </w:t>
      </w:r>
      <w:hyperlink r:id="rId9">
        <w:r>
          <w:rPr>
            <w:color w:val="0000EE"/>
            <w:u w:val="single"/>
          </w:rPr>
          <w:t>[1]</w:t>
        </w:r>
      </w:hyperlink>
      <w:r>
        <w:t xml:space="preserve"> (MyLondon), </w:t>
      </w:r>
      <w:hyperlink r:id="rId10">
        <w:r>
          <w:rPr>
            <w:color w:val="0000EE"/>
            <w:u w:val="single"/>
          </w:rPr>
          <w:t>[2]</w:t>
        </w:r>
      </w:hyperlink>
      <w:r>
        <w:t xml:space="preserve"> (Ideal Home)</w:t>
      </w:r>
      <w:r/>
    </w:p>
    <w:p>
      <w:pPr>
        <w:pStyle w:val="ListBullet"/>
        <w:spacing w:line="240" w:lineRule="auto"/>
        <w:ind w:left="720"/>
      </w:pPr>
      <w:r/>
      <w:r>
        <w:t xml:space="preserve">Paragraph 4 – </w:t>
      </w:r>
      <w:hyperlink r:id="rId9">
        <w:r>
          <w:rPr>
            <w:color w:val="0000EE"/>
            <w:u w:val="single"/>
          </w:rPr>
          <w:t>[1]</w:t>
        </w:r>
      </w:hyperlink>
      <w:r>
        <w:t xml:space="preserve"> (MyLondon), </w:t>
      </w:r>
      <w:hyperlink r:id="rId11">
        <w:r>
          <w:rPr>
            <w:color w:val="0000EE"/>
            <w:u w:val="single"/>
          </w:rPr>
          <w:t>[3]</w:t>
        </w:r>
      </w:hyperlink>
      <w:r>
        <w:t xml:space="preserve"> (Gov.uk), </w:t>
      </w:r>
      <w:hyperlink r:id="rId12">
        <w:r>
          <w:rPr>
            <w:color w:val="0000EE"/>
            <w:u w:val="single"/>
          </w:rPr>
          <w:t>[4]</w:t>
        </w:r>
      </w:hyperlink>
      <w:r>
        <w:t xml:space="preserve"> (Titon)</w:t>
      </w:r>
      <w:r/>
    </w:p>
    <w:p>
      <w:pPr>
        <w:pStyle w:val="ListBullet"/>
        <w:spacing w:line="240" w:lineRule="auto"/>
        <w:ind w:left="720"/>
      </w:pPr>
      <w:r/>
      <w:r>
        <w:t xml:space="preserve">Paragraph 5 – </w:t>
      </w:r>
      <w:hyperlink r:id="rId9">
        <w:r>
          <w:rPr>
            <w:color w:val="0000EE"/>
            <w:u w:val="single"/>
          </w:rPr>
          <w:t>[1]</w:t>
        </w:r>
      </w:hyperlink>
      <w:r>
        <w:t xml:space="preserve"> (MyLondon), </w:t>
      </w:r>
      <w:hyperlink r:id="rId13">
        <w:r>
          <w:rPr>
            <w:color w:val="0000EE"/>
            <w:u w:val="single"/>
          </w:rPr>
          <w:t>[6]</w:t>
        </w:r>
      </w:hyperlink>
      <w:r>
        <w:t xml:space="preserve"> (Housing Ombudsman)</w:t>
      </w:r>
      <w:r/>
    </w:p>
    <w:p>
      <w:pPr>
        <w:pStyle w:val="ListBullet"/>
        <w:spacing w:line="240" w:lineRule="auto"/>
        <w:ind w:left="720"/>
      </w:pPr>
      <w:r/>
      <w:r>
        <w:t xml:space="preserve">Paragraph 6 – </w:t>
      </w:r>
      <w:hyperlink r:id="rId9">
        <w:r>
          <w:rPr>
            <w:color w:val="0000EE"/>
            <w:u w:val="single"/>
          </w:rPr>
          <w:t>[1]</w:t>
        </w:r>
      </w:hyperlink>
      <w:r>
        <w:t xml:space="preserve"> (MyLondon), </w:t>
      </w:r>
      <w:hyperlink r:id="rId14">
        <w:r>
          <w:rPr>
            <w:color w:val="0000EE"/>
            <w:u w:val="single"/>
          </w:rPr>
          <w:t>[7]</w:t>
        </w:r>
      </w:hyperlink>
      <w:r>
        <w:t xml:space="preserve"> (Housing Ombudsman)</w:t>
      </w:r>
      <w:r/>
    </w:p>
    <w:p>
      <w:pPr>
        <w:pStyle w:val="ListBullet"/>
        <w:spacing w:line="240" w:lineRule="auto"/>
        <w:ind w:left="720"/>
      </w:pPr>
      <w:r/>
      <w:r>
        <w:t xml:space="preserve">Paragraph 7 – </w:t>
      </w:r>
      <w:hyperlink r:id="rId10">
        <w:r>
          <w:rPr>
            <w:color w:val="0000EE"/>
            <w:u w:val="single"/>
          </w:rPr>
          <w:t>[2]</w:t>
        </w:r>
      </w:hyperlink>
      <w:r>
        <w:t xml:space="preserve"> (Ideal Home), </w:t>
      </w:r>
      <w:hyperlink r:id="rId11">
        <w:r>
          <w:rPr>
            <w:color w:val="0000EE"/>
            <w:u w:val="single"/>
          </w:rPr>
          <w:t>[3]</w:t>
        </w:r>
      </w:hyperlink>
      <w:r>
        <w:t xml:space="preserve"> (Gov.uk), </w:t>
      </w:r>
      <w:hyperlink r:id="rId12">
        <w:r>
          <w:rPr>
            <w:color w:val="0000EE"/>
            <w:u w:val="single"/>
          </w:rPr>
          <w:t>[4]</w:t>
        </w:r>
      </w:hyperlink>
      <w:r>
        <w:t xml:space="preserve"> (Titon), </w:t>
      </w:r>
      <w:hyperlink r:id="rId15">
        <w:r>
          <w:rPr>
            <w:color w:val="0000EE"/>
            <w:u w:val="single"/>
          </w:rPr>
          <w:t>[5]</w:t>
        </w:r>
      </w:hyperlink>
      <w:r>
        <w:t xml:space="preserve"> (AskPorter)</w:t>
      </w:r>
      <w:r/>
    </w:p>
    <w:p>
      <w:pPr>
        <w:pStyle w:val="ListBullet"/>
        <w:spacing w:line="240" w:lineRule="auto"/>
        <w:ind w:left="720"/>
      </w:pPr>
      <w:r/>
      <w:r>
        <w:t xml:space="preserve">Paragraph 8 – </w:t>
      </w:r>
      <w:hyperlink r:id="rId9">
        <w:r>
          <w:rPr>
            <w:color w:val="0000EE"/>
            <w:u w:val="single"/>
          </w:rPr>
          <w:t>[1]</w:t>
        </w:r>
      </w:hyperlink>
      <w:r>
        <w:t xml:space="preserve"> (MyLondon), </w:t>
      </w:r>
      <w:hyperlink r:id="rId10">
        <w:r>
          <w:rPr>
            <w:color w:val="0000EE"/>
            <w:u w:val="single"/>
          </w:rPr>
          <w:t>[2]</w:t>
        </w:r>
      </w:hyperlink>
      <w:r>
        <w:t xml:space="preserve"> (Ideal Home)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https://www.mylondon.news/news/south-london-news/south-london-family-lived-2-32789182</w:t>
        </w:r>
      </w:hyperlink>
      <w:r>
        <w:t xml:space="preserve"> - Please view link - unable to able to access data</w:t>
      </w:r>
      <w:r/>
    </w:p>
    <w:p>
      <w:pPr>
        <w:pStyle w:val="ListNumber"/>
        <w:spacing w:line="240" w:lineRule="auto"/>
        <w:ind w:left="720"/>
      </w:pPr>
      <w:r/>
      <w:hyperlink r:id="rId10">
        <w:r>
          <w:rPr>
            <w:color w:val="0000EE"/>
            <w:u w:val="single"/>
          </w:rPr>
          <w:t>https://www.idealhome.co.uk/house-manual/owning-renting/what-is-awaabs-law</w:t>
        </w:r>
      </w:hyperlink>
      <w:r>
        <w:t xml:space="preserve"> - Awaab's Law, effective from 27 October 2025, mandates that social landlords respond to serious damp and mould complaints within 24 hours and resolve emergency hazards within seven days. Named after Awaab Ishak, a two-year-old who died in 2020 due to untreated mould exposure, the law initially applies to social landlords and will eventually cover all landlords. It addresses hazards like mould, gas leaks, and structural issues, requiring strict documentation and repair timelines. Tenants are protected from retaliation when reporting hazards and can escalate unresolved cases to the Housing Ombudsman. Non-compliance by landlords may result in fines up to £7,000 for initial breaches and £40,000 for severe infractions, along with legal or reputational consequences. The article also recommends dehumidifiers for moisture control and aims to ensure safer living conditions and greater accountability within the housing system.</w:t>
      </w:r>
      <w:r/>
    </w:p>
    <w:p>
      <w:pPr>
        <w:pStyle w:val="ListNumber"/>
        <w:spacing w:line="240" w:lineRule="auto"/>
        <w:ind w:left="720"/>
      </w:pPr>
      <w:r/>
      <w:hyperlink r:id="rId11">
        <w:r>
          <w:rPr>
            <w:color w:val="0000EE"/>
            <w:u w:val="single"/>
          </w:rPr>
          <w:t>https://www.gov.uk/government/publications/awaabs-law-guidance-for-tenants-in-social-housing/awaabs-law-guidance-for-tenants-in-social-housing</w:t>
        </w:r>
      </w:hyperlink>
      <w:r>
        <w:t xml:space="preserve"> - Awaab's Law, effective from 27 October 2025, requires social landlords to address emergency hazards within 24 hours and significant damp and mould hazards within fixed timescales. Landlords must investigate reported issues within 10 working days and make them safe within 5 working days. If a home cannot be made safe in time, landlords must offer suitable alternative accommodation. Tenants should receive a written summary within 3 working days of an investigation's conclusion. If issues remain unresolved, tenants can complain to their landlord or escalate to the Housing Ombudsman. The guidance also outlines further support available from organisations like Shelter, Citizens Advice, and local council environmental health teams.</w:t>
      </w:r>
      <w:r/>
    </w:p>
    <w:p>
      <w:pPr>
        <w:pStyle w:val="ListNumber"/>
        <w:spacing w:line="240" w:lineRule="auto"/>
        <w:ind w:left="720"/>
      </w:pPr>
      <w:r/>
      <w:hyperlink r:id="rId12">
        <w:r>
          <w:rPr>
            <w:color w:val="0000EE"/>
            <w:u w:val="single"/>
          </w:rPr>
          <w:t>https://www.titon.com/blog-ventilation/awaabs-law-damp-and-mould-in-the-social-housing-sector</w:t>
        </w:r>
      </w:hyperlink>
      <w:r>
        <w:t xml:space="preserve"> - Awaab's Law, effective from 27 October 2025, imposes strict timelines on social landlords to address damp and mould hazards. Landlords must investigate reported hazards within 14 calendar days, provide a detailed report within 48 hours, commence repair work within 7 calendar days if a significant health or safety risk is identified, and complete repairs within a 'reasonable period'. Emergency repairs must be carried out within 24 hours. If a property cannot be made safe within these timeframes, landlords must arrange and cover the cost of suitable alternative accommodation until repairs are complete.</w:t>
      </w:r>
      <w:r/>
    </w:p>
    <w:p>
      <w:pPr>
        <w:pStyle w:val="ListNumber"/>
        <w:spacing w:line="240" w:lineRule="auto"/>
        <w:ind w:left="720"/>
      </w:pPr>
      <w:r/>
      <w:hyperlink r:id="rId15">
        <w:r>
          <w:rPr>
            <w:color w:val="0000EE"/>
            <w:u w:val="single"/>
          </w:rPr>
          <w:t>https://www.askporter.com/askporter-blog/navigating-awaabs-law-preparing-for-change-in-social-housing</w:t>
        </w:r>
      </w:hyperlink>
      <w:r>
        <w:t xml:space="preserve"> - Awaab's Law, effective from 27 October 2025, introduces stringent response times for social landlords addressing damp and mould hazards. Landlords must investigate hazards within 14 calendar days, provide a report within 48 hours, begin repairs within 7 days if a significant health risk is identified, and complete repairs within a 'reasonable period'. Emergency repairs must be addressed within 24 hours. If repairs cannot be completed promptly, landlords must provide alternative accommodation at their expense. The article discusses the impact of these changes on the housing sector and the importance of compliance to avoid severe penalties.</w:t>
      </w:r>
      <w:r/>
    </w:p>
    <w:p>
      <w:pPr>
        <w:pStyle w:val="ListNumber"/>
        <w:spacing w:line="240" w:lineRule="auto"/>
        <w:ind w:left="720"/>
      </w:pPr>
      <w:r/>
      <w:hyperlink r:id="rId13">
        <w:r>
          <w:rPr>
            <w:color w:val="0000EE"/>
            <w:u w:val="single"/>
          </w:rPr>
          <w:t>https://www.housing-ombudsman.org.uk/app/uploads/2025/03/Severe-maladministration-publication-March-2025.pdf</w:t>
        </w:r>
      </w:hyperlink>
      <w:r>
        <w:t xml:space="preserve"> - The Housing Ombudsman found severe maladministration by Lewisham Council after sewerage leaks in a toilet spread onto the bathroom floor, remaining unresolved for 11 months despite being an emergency repair with children in the house. The landlord's response was inadequate, with no clear actions taken, and the repair was outstanding for 183 working days, significantly beyond the expected 20 working days. The Ombudsman highlighted the council's failure to address the issue promptly and effectively, leading to significant inconvenience and distress for the resident.</w:t>
      </w:r>
      <w:r/>
    </w:p>
    <w:p>
      <w:pPr>
        <w:pStyle w:val="ListNumber"/>
        <w:spacing w:line="240" w:lineRule="auto"/>
        <w:ind w:left="720"/>
      </w:pPr>
      <w:r/>
      <w:hyperlink r:id="rId14">
        <w:r>
          <w:rPr>
            <w:color w:val="0000EE"/>
            <w:u w:val="single"/>
          </w:rPr>
          <w:t>https://www.housing-ombudsman.org.uk/decisions/lewisham-council-202217650/</w:t>
        </w:r>
      </w:hyperlink>
      <w:r>
        <w:t xml:space="preserve"> - The Housing Ombudsman found severe maladministration by Lewisham Council in handling repairs to a property roof. The council failed to respond to repair reports within a reasonable timescale, used operatives that invalidated the roof's guarantee, and initially wrongly charged residents for repairs that should have been covered under the guarantee. Promises made to address the issues were not performed in line with the promised timeline, and the council's repair records were incomplete, leading to confusion and a lack of trust between the landlord and resident.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south-london-family-lived-2-32789182" TargetMode="External"/><Relationship Id="rId10" Type="http://schemas.openxmlformats.org/officeDocument/2006/relationships/hyperlink" Target="https://www.idealhome.co.uk/house-manual/owning-renting/what-is-awaabs-law" TargetMode="External"/><Relationship Id="rId11" Type="http://schemas.openxmlformats.org/officeDocument/2006/relationships/hyperlink" Target="https://www.gov.uk/government/publications/awaabs-law-guidance-for-tenants-in-social-housing/awaabs-law-guidance-for-tenants-in-social-housing" TargetMode="External"/><Relationship Id="rId12" Type="http://schemas.openxmlformats.org/officeDocument/2006/relationships/hyperlink" Target="https://www.titon.com/blog-ventilation/awaabs-law-damp-and-mould-in-the-social-housing-sector" TargetMode="External"/><Relationship Id="rId13" Type="http://schemas.openxmlformats.org/officeDocument/2006/relationships/hyperlink" Target="https://www.housing-ombudsman.org.uk/app/uploads/2025/03/Severe-maladministration-publication-March-2025.pdf" TargetMode="External"/><Relationship Id="rId14" Type="http://schemas.openxmlformats.org/officeDocument/2006/relationships/hyperlink" Target="https://www.housing-ombudsman.org.uk/decisions/lewisham-council-202217650/" TargetMode="External"/><Relationship Id="rId15" Type="http://schemas.openxmlformats.org/officeDocument/2006/relationships/hyperlink" Target="https://www.askporter.com/askporter-blog/navigating-awaabs-law-preparing-for-change-in-social-hous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