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Duchess of Sussex Wears Princess Diana's Jewelry During Nigeria Visit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During a three-day visit to Nigeria, Meghan, Duchess of Sussex, wore a jewelry piece previously owned by Princess Diana as a tribute to the late princess. The visit, which took place over the weekend, included meetings with key figures and charity events, as well as a celebration of the 10th anniversary of the Invictus Games. The sentimental jewelry, a gold chain with a diamond cross, was a gift from Prince Harry to Meghan. The Duchess wore this necklace with a white dress at a reception in Abuja on Saturday night, May 11, 2024.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