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Sacha Lord highlights impact of social media on declining nightlife attendance among young Britons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Sacha Lord, the Night Life Economy Adviser for Greater Manchester, has suggested that young people are increasingly avoiding nights out to prevent potential embarrassment on social media. Lord, aged 52, who was appointed by Mayor Andy Burnham, cites this trend as a key factor behind the decline in nightlife attendance among young Britons.</w:t>
      </w:r>
      <w:r/>
    </w:p>
    <w:p>
      <w:r/>
      <w:r>
        <w:t>Lord, the founder of Manchester's Parklife festival and The Warehouse Project, shared his observations on the Loose Ends podcast. He noted an intriguing statistic: one in five individuals under the age of 25 now abstains from alcohol. This shift, partly attributed to the impact of COVID-19 restrictions, has also been influenced by social media's role in shaping public personas.</w:t>
      </w:r>
      <w:r/>
    </w:p>
    <w:p>
      <w:r/>
      <w:r>
        <w:t>The post-pandemic environment has seen changes in social habits, with young people increasingly favouring activities like gym workouts and showcasing new clothing online over traditional nights out. This change, alongside financial pressures from the cost of living crisis, has adversely impacted bars and nightclubs. Lord highlighted that London has seen 1,110 bars and clubs close since COVID-19, with many others facing challenges like reduced drinking hours and rising costs.</w:t>
      </w:r>
      <w:r/>
    </w:p>
    <w:p>
      <w:r/>
      <w:r>
        <w:t>In contrast, major events like festivals and concerts are experiencing record ticket sales. This new preference indicates a shift towards more significant social gatherings rather than routine club visits.</w:t>
      </w:r>
      <w:r/>
    </w:p>
    <w:p>
      <w:r/>
      <w:r>
        <w:t>Despite these trends, London's night-tsar Amy Lamé has received a 4.5% salary increase, bringing her annual salary to £132,000, amid criticisms about the declining nightlife in the city. Her remuneration was aligned with other Greater London Authority staff's pay rises.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