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Impact of Sample Sizes on Body Image in the Fashion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2009, a letter was sent to influential fashion designers by Alexandra Shulman, then-editor of British Vogue, requesting larger sample sizes to photograph a wider range of body sizes. Shulman expressed frustration over sample sizes that didn't fit even established models, leading to the use of emaciated-looking girls. Despite polite but evasive replies from designers, the issue remains largely unchanged. A recent report by Vogue Business noted that only 3.5% of models at fashion weeks in Paris, Milan, London, and New York were larger than a UK size 8.</w:t>
      </w:r>
      <w:r/>
    </w:p>
    <w:p>
      <w:r/>
      <w:r>
        <w:t>Since the 1990s, thin models have dominated the runways, influenced by the fashion ecosystem including photographers, agents, and editors. The persistent preference for slim models affects the availability of clothing samples suitable for a more diverse range of body types. Occasional use of plus-size models, such as Ashley Graham and Precious Lee, has been tokenistic and has not significantly altered industry standards.</w:t>
      </w:r>
      <w:r/>
    </w:p>
    <w:p>
      <w:r/>
      <w:r>
        <w:t>Recently, the popularity of weight-loss drugs like Ozempic highlights ongoing societal obsession with thinness. Celebrities like Oprah Winfrey and Sharon Osbourne admitting to using these medications have shifted public discourse from body positivity to medical weight control. Despite some brands, like Jigsaw and John Lewis, offering larger sizes, high fashion houses like YSL and Gucci often do not cater to average-sized women. Thus, pervasive thinness and limited sample sizes continue to shape the fashion industry's portrayal of body image.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