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Lotte Wubben-Moy's Remarkable Season: Elevating Performance On and Off the Pitch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Lotte Wubben-Moy's Remarkable Season: Key Factors and Achievements</w:t>
      </w:r>
    </w:p>
    <w:p>
      <w:r>
        <w:t>Lotte Wubben-Moy, Arsenal defender, experienced a career-defining season, driven by her desire for improvement after not playing during England's Euro 2022 victory. Recognizing the need to elevate her game to match her team's prowess, Wubben-Moy undertook a year-long transformation focused on meticulous game analysis, physical training, and mental conditioning.</w:t>
      </w:r>
    </w:p>
    <w:p>
      <w:r>
        <w:t>This strategic shift paid off, as she emerged as one of the most consistent defenders in the Women's Super League (WSL). Her contributions were key to Arsenal's performance and England's run to the 2023 Women's World Cup final. Despite a mid-season foot injury, her remarkable progress earned her substantial playing time and recognition, including Arsenal's Player of the Season award.</w:t>
      </w:r>
    </w:p>
    <w:p>
      <w:r>
        <w:t>Arsenal assistant coach Renee Slegers praised Wubben-Moy's mindset, highlighting her relentless drive to improve and her ability to absorb and utilize feedback. Her development involved breaking down game footage and implementing targeted training drills, assisted by a team of analysts to enhance technical skills like body positioning and passing accuracy.</w:t>
      </w:r>
    </w:p>
    <w:p>
      <w:r>
        <w:t>At 25, Wubben-Moy aims to secure a starting position for England in the next European Championship and continue her leadership role at Arsenal. Her journey underscores a commitment to personal and team success, reflecting a broader vision for impact both on and off the pitch.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